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0" w:afterLines="0"/>
        <w:rPr>
          <w:rFonts w:hint="default" w:ascii="仿宋_GB2312" w:eastAsia="仿宋_GB2312"/>
          <w:sz w:val="28"/>
        </w:rPr>
      </w:pPr>
    </w:p>
    <w:p>
      <w:pPr>
        <w:autoSpaceDE w:val="0"/>
        <w:autoSpaceDN w:val="0"/>
        <w:adjustRightInd w:val="0"/>
        <w:spacing w:beforeLines="0" w:afterLines="0"/>
        <w:jc w:val="center"/>
        <w:rPr>
          <w:rFonts w:hint="default" w:ascii="仿宋_GB2312" w:eastAsia="仿宋_GB2312"/>
          <w:b/>
          <w:sz w:val="36"/>
        </w:rPr>
      </w:pPr>
      <w:r>
        <w:rPr>
          <w:rFonts w:hint="eastAsia" w:ascii="仿宋_GB2312" w:eastAsia="仿宋_GB2312"/>
          <w:b/>
          <w:sz w:val="36"/>
        </w:rPr>
        <w:t>宿州市妇女联合会</w:t>
      </w:r>
      <w:r>
        <w:rPr>
          <w:rFonts w:hint="eastAsia" w:ascii="宋体"/>
          <w:b/>
          <w:sz w:val="36"/>
        </w:rPr>
        <w:t>201</w:t>
      </w:r>
      <w:r>
        <w:rPr>
          <w:rFonts w:hint="eastAsia" w:ascii="仿宋_GB2312" w:eastAsia="仿宋_GB2312"/>
          <w:b/>
          <w:sz w:val="36"/>
        </w:rPr>
        <w:t>7年部门决算情况</w:t>
      </w:r>
    </w:p>
    <w:p>
      <w:pPr>
        <w:autoSpaceDE w:val="0"/>
        <w:autoSpaceDN w:val="0"/>
        <w:adjustRightInd w:val="0"/>
        <w:spacing w:beforeLines="0" w:afterLines="0"/>
        <w:ind w:firstLine="628"/>
        <w:rPr>
          <w:rFonts w:hint="default" w:ascii="黑体" w:eastAsia="黑体"/>
          <w:sz w:val="32"/>
        </w:rPr>
      </w:pPr>
    </w:p>
    <w:p>
      <w:pPr>
        <w:autoSpaceDE w:val="0"/>
        <w:autoSpaceDN w:val="0"/>
        <w:adjustRightInd w:val="0"/>
        <w:spacing w:beforeLines="0" w:afterLines="0"/>
        <w:ind w:firstLine="628"/>
        <w:rPr>
          <w:rFonts w:hint="default" w:ascii="黑体" w:eastAsia="黑体"/>
          <w:sz w:val="32"/>
        </w:rPr>
      </w:pPr>
      <w:r>
        <w:rPr>
          <w:rFonts w:hint="eastAsia" w:ascii="黑体" w:eastAsia="黑体"/>
          <w:sz w:val="32"/>
        </w:rPr>
        <w:t>第一部分 宿州市妇女联合会概况</w:t>
      </w:r>
    </w:p>
    <w:p>
      <w:pPr>
        <w:numPr>
          <w:ilvl w:val="0"/>
          <w:numId w:val="1"/>
        </w:numPr>
        <w:autoSpaceDE w:val="0"/>
        <w:autoSpaceDN w:val="0"/>
        <w:adjustRightInd w:val="0"/>
        <w:spacing w:beforeLines="0" w:afterLines="0"/>
        <w:rPr>
          <w:rFonts w:hint="default" w:ascii="黑体" w:eastAsia="黑体"/>
          <w:sz w:val="32"/>
        </w:rPr>
      </w:pPr>
      <w:r>
        <w:rPr>
          <w:rFonts w:hint="eastAsia" w:ascii="黑体" w:eastAsia="黑体"/>
          <w:sz w:val="32"/>
        </w:rPr>
        <w:t>部门职责</w:t>
      </w:r>
    </w:p>
    <w:p>
      <w:pPr>
        <w:pStyle w:val="5"/>
        <w:spacing w:beforeLines="0" w:afterLines="0" w:line="540" w:lineRule="exact"/>
        <w:ind w:left="629" w:firstLine="640"/>
        <w:rPr>
          <w:rFonts w:hint="default" w:eastAsia="Times New Roman"/>
          <w:sz w:val="32"/>
        </w:rPr>
      </w:pPr>
      <w:r>
        <w:rPr>
          <w:rFonts w:hint="eastAsia"/>
          <w:sz w:val="32"/>
        </w:rPr>
        <w:t>宿州市妇女联合会是市委领导下的全市各界妇女的群众团体组织，是市委、市政府联系全市妇女群众的桥梁和纽带。市妇联机关的主要职责是：</w:t>
      </w:r>
    </w:p>
    <w:p>
      <w:pPr>
        <w:pStyle w:val="5"/>
        <w:spacing w:beforeLines="0" w:afterLines="0" w:line="540" w:lineRule="exact"/>
        <w:ind w:left="629" w:firstLine="640"/>
        <w:rPr>
          <w:rFonts w:hint="default" w:eastAsia="Times New Roman"/>
          <w:sz w:val="32"/>
        </w:rPr>
      </w:pPr>
      <w:r>
        <w:rPr>
          <w:rFonts w:hint="eastAsia"/>
          <w:sz w:val="32"/>
        </w:rPr>
        <w:t>(一)团结、动员广大妇女投身改革开放和社会主义现代化建设，推动科学发展，促进社会和谐。</w:t>
      </w:r>
    </w:p>
    <w:p>
      <w:pPr>
        <w:pStyle w:val="5"/>
        <w:spacing w:beforeLines="0" w:afterLines="0" w:line="540" w:lineRule="exact"/>
        <w:ind w:left="629" w:firstLine="640"/>
        <w:rPr>
          <w:rFonts w:hint="default" w:eastAsia="Times New Roman"/>
          <w:sz w:val="32"/>
        </w:rPr>
      </w:pPr>
      <w:r>
        <w:rPr>
          <w:rFonts w:hint="eastAsia"/>
          <w:sz w:val="32"/>
        </w:rPr>
        <w:t>(二)教育、引导广大妇女增强自尊、自信、自立、自强的精神，提高综合素质，促进全面发展。宣传马克思主义妇女观和男女平等基本国策，营造有利于妇女全面发展的社会环境。</w:t>
      </w:r>
    </w:p>
    <w:p>
      <w:pPr>
        <w:pStyle w:val="5"/>
        <w:spacing w:beforeLines="0" w:afterLines="0" w:line="540" w:lineRule="exact"/>
        <w:ind w:left="629" w:firstLine="640"/>
        <w:rPr>
          <w:rFonts w:hint="default" w:eastAsia="Times New Roman"/>
          <w:sz w:val="32"/>
        </w:rPr>
      </w:pPr>
      <w:r>
        <w:rPr>
          <w:rFonts w:hint="eastAsia"/>
          <w:sz w:val="32"/>
        </w:rPr>
        <w:t>(三)代表妇女参与国家和社会事务的民主决策、民主管理、民主监督，参与有关妇女儿童法律、法规、规章和政策的制定，参与社会管理和公共服务，培养、推荐女性人才，推动妇女、儿童发展纲要的实施。</w:t>
      </w:r>
    </w:p>
    <w:p>
      <w:pPr>
        <w:pStyle w:val="5"/>
        <w:spacing w:beforeLines="0" w:afterLines="0" w:line="540" w:lineRule="exact"/>
        <w:ind w:left="629" w:firstLine="640"/>
        <w:rPr>
          <w:rFonts w:hint="default" w:eastAsia="Times New Roman"/>
          <w:sz w:val="32"/>
        </w:rPr>
      </w:pPr>
      <w:r>
        <w:rPr>
          <w:rFonts w:hint="eastAsia"/>
          <w:sz w:val="32"/>
        </w:rPr>
        <w:t>(四)关心妇女生活，拓宽服务渠道，建设服务阵地，发展公益事业，为妇女儿童和家庭服务；加强与社会各界的联系，协调和推动社会各界为妇女儿童办实事。</w:t>
      </w:r>
    </w:p>
    <w:p>
      <w:pPr>
        <w:pStyle w:val="5"/>
        <w:spacing w:beforeLines="0" w:afterLines="0" w:line="540" w:lineRule="exact"/>
        <w:ind w:left="629" w:firstLine="640"/>
        <w:rPr>
          <w:rFonts w:hint="default" w:eastAsia="Times New Roman"/>
          <w:sz w:val="32"/>
        </w:rPr>
      </w:pPr>
      <w:r>
        <w:rPr>
          <w:rFonts w:hint="eastAsia"/>
          <w:sz w:val="32"/>
        </w:rPr>
        <w:t>(五)承担市妇女儿童工作委员会的日常工作。</w:t>
      </w:r>
    </w:p>
    <w:p>
      <w:pPr>
        <w:pStyle w:val="5"/>
        <w:spacing w:beforeLines="0" w:afterLines="0" w:line="540" w:lineRule="exact"/>
        <w:ind w:left="629" w:firstLine="640"/>
        <w:rPr>
          <w:rFonts w:hint="default" w:eastAsia="Times New Roman"/>
          <w:sz w:val="32"/>
        </w:rPr>
      </w:pPr>
      <w:r>
        <w:rPr>
          <w:rFonts w:hint="eastAsia"/>
          <w:sz w:val="32"/>
        </w:rPr>
        <w:t>(六)承办市委、市政府交办的其他各项工作</w:t>
      </w:r>
    </w:p>
    <w:p>
      <w:pPr>
        <w:autoSpaceDE w:val="0"/>
        <w:autoSpaceDN w:val="0"/>
        <w:adjustRightInd w:val="0"/>
        <w:spacing w:beforeLines="0" w:afterLines="0"/>
        <w:ind w:left="628"/>
        <w:rPr>
          <w:rFonts w:hint="default" w:ascii="黑体" w:eastAsia="黑体"/>
          <w:sz w:val="32"/>
        </w:rPr>
      </w:pPr>
    </w:p>
    <w:p>
      <w:pPr>
        <w:autoSpaceDE w:val="0"/>
        <w:autoSpaceDN w:val="0"/>
        <w:adjustRightInd w:val="0"/>
        <w:spacing w:beforeLines="0" w:afterLines="0"/>
        <w:ind w:firstLine="628"/>
        <w:rPr>
          <w:rFonts w:hint="default" w:ascii="黑体" w:eastAsia="黑体"/>
          <w:sz w:val="32"/>
        </w:rPr>
      </w:pPr>
      <w:r>
        <w:rPr>
          <w:rFonts w:hint="eastAsia" w:ascii="黑体" w:eastAsia="黑体"/>
          <w:sz w:val="32"/>
        </w:rPr>
        <w:t>二、机构设置</w:t>
      </w:r>
    </w:p>
    <w:p>
      <w:pPr>
        <w:autoSpaceDE w:val="0"/>
        <w:autoSpaceDN w:val="0"/>
        <w:adjustRightInd w:val="0"/>
        <w:spacing w:beforeLines="0" w:afterLines="0"/>
        <w:ind w:firstLine="628"/>
        <w:rPr>
          <w:rFonts w:hint="default" w:ascii="仿宋_GB2312" w:eastAsia="仿宋_GB2312"/>
          <w:sz w:val="32"/>
        </w:rPr>
      </w:pPr>
      <w:r>
        <w:rPr>
          <w:rFonts w:hint="eastAsia" w:ascii="仿宋_GB2312" w:eastAsia="仿宋_GB2312"/>
          <w:sz w:val="32"/>
        </w:rPr>
        <w:t>从决算单位构成看，宿州市妇女联合会2017年度部门决算包括：部门本级决算和所属事业单位决算，无变化。</w:t>
      </w:r>
    </w:p>
    <w:p>
      <w:pPr>
        <w:autoSpaceDE w:val="0"/>
        <w:autoSpaceDN w:val="0"/>
        <w:adjustRightInd w:val="0"/>
        <w:spacing w:beforeLines="0" w:afterLines="0"/>
        <w:ind w:firstLine="628"/>
        <w:rPr>
          <w:rFonts w:hint="default" w:ascii="仿宋_GB2312" w:eastAsia="仿宋_GB2312"/>
          <w:sz w:val="32"/>
        </w:rPr>
      </w:pPr>
      <w:r>
        <w:rPr>
          <w:rFonts w:hint="eastAsia" w:ascii="仿宋_GB2312" w:eastAsia="仿宋_GB2312"/>
          <w:sz w:val="32"/>
        </w:rPr>
        <w:t>纳入宿州市妇女联合会2017年度部门决算编制范围的二级单位共1个，详细情况见下表：</w:t>
      </w:r>
    </w:p>
    <w:tbl>
      <w:tblPr>
        <w:tblStyle w:val="4"/>
        <w:tblW w:w="722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9"/>
        <w:gridCol w:w="5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89"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仿宋_GB2312" w:eastAsia="仿宋_GB2312"/>
                <w:sz w:val="24"/>
              </w:rPr>
            </w:pPr>
            <w:r>
              <w:rPr>
                <w:rFonts w:hint="eastAsia" w:ascii="仿宋_GB2312" w:eastAsia="仿宋_GB2312"/>
                <w:sz w:val="24"/>
              </w:rPr>
              <w:t>序号</w:t>
            </w:r>
          </w:p>
        </w:tc>
        <w:tc>
          <w:tcPr>
            <w:tcW w:w="5837" w:type="dxa"/>
            <w:tcBorders>
              <w:top w:val="single" w:color="auto" w:sz="6" w:space="0"/>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仿宋_GB2312" w:eastAsia="仿宋_GB2312"/>
                <w:sz w:val="24"/>
              </w:rPr>
            </w:pPr>
            <w:r>
              <w:rPr>
                <w:rFonts w:hint="eastAsia" w:ascii="仿宋_GB2312" w:eastAsia="仿宋_GB2312"/>
                <w:sz w:val="24"/>
              </w:rPr>
              <w:t>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89" w:type="dxa"/>
            <w:tcBorders>
              <w:top w:val="nil"/>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eastAsia" w:ascii="仿宋_GB2312" w:hAnsi="Times New Roman" w:eastAsia="仿宋_GB2312"/>
                <w:sz w:val="24"/>
              </w:rPr>
            </w:pPr>
            <w:r>
              <w:rPr>
                <w:rFonts w:hint="eastAsia" w:ascii="仿宋_GB2312" w:hAnsi="Times New Roman" w:eastAsia="仿宋_GB2312"/>
                <w:sz w:val="24"/>
              </w:rPr>
              <w:t>1</w:t>
            </w:r>
          </w:p>
        </w:tc>
        <w:tc>
          <w:tcPr>
            <w:tcW w:w="5837"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仿宋_GB2312" w:hAnsi="Times New Roman" w:eastAsia="仿宋_GB2312"/>
                <w:sz w:val="24"/>
              </w:rPr>
            </w:pPr>
            <w:r>
              <w:rPr>
                <w:rFonts w:hint="eastAsia" w:ascii="仿宋_GB2312" w:hAnsi="Times New Roman" w:eastAsia="仿宋_GB2312"/>
                <w:sz w:val="24"/>
              </w:rPr>
              <w:t>宿州市妇女联合会本级</w:t>
            </w:r>
          </w:p>
        </w:tc>
      </w:tr>
    </w:tbl>
    <w:p>
      <w:pPr>
        <w:autoSpaceDE w:val="0"/>
        <w:autoSpaceDN w:val="0"/>
        <w:adjustRightInd w:val="0"/>
        <w:spacing w:beforeLines="0" w:afterLines="0"/>
        <w:ind w:firstLine="628"/>
        <w:rPr>
          <w:rFonts w:hint="default" w:ascii="黑体" w:hAnsi="Times New Roman" w:eastAsia="黑体"/>
          <w:sz w:val="32"/>
        </w:rPr>
      </w:pP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第二部分 宿州市妇女联合会2017年度部门决算情况说明</w:t>
      </w: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一、收入支出决算总体情况说明</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2017年度收、支总计443.38万元。与2016年相比，收、支总计各增加182.62万元，增长70.03%，主要原因：一是增人增资；二是用于扶贫及文明创建工作等重点工作的支出增加。</w:t>
      </w: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二、收入决算情况说明</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本年收入合计441.42万元，其中：财政拨款收入309.44万元，占70.1%；其他收入131.98万元，占29.9%。</w:t>
      </w: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三、支出决算情况说明</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本年支出合计421.04万元，其中：基本支出292.04万元，占69.36%；项目支出129万元，占30.64%。</w:t>
      </w: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四、财政拨款收入支出决算总体情况说明</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2017年度财政拨款收、支总计311.41万元。与2016年相比，财政拨款收、支总计各增加55.64万元，增长21.754%，主要原因：一是增人增资；二是用于扶贫及文明创建工作等重点工作的支出增加。</w:t>
      </w: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五、一般公共预算财政拨款收入支出决算情况说明</w:t>
      </w:r>
    </w:p>
    <w:p>
      <w:pPr>
        <w:autoSpaceDE w:val="0"/>
        <w:autoSpaceDN w:val="0"/>
        <w:adjustRightInd w:val="0"/>
        <w:spacing w:beforeLines="0" w:afterLines="0"/>
        <w:ind w:firstLine="628"/>
        <w:rPr>
          <w:rFonts w:hint="default" w:ascii="仿宋_GB2312" w:hAnsi="Times New Roman" w:eastAsia="仿宋_GB2312"/>
          <w:b/>
          <w:sz w:val="32"/>
        </w:rPr>
      </w:pPr>
      <w:r>
        <w:rPr>
          <w:rFonts w:hint="eastAsia" w:ascii="仿宋_GB2312" w:hAnsi="Times New Roman" w:eastAsia="仿宋_GB2312"/>
          <w:b/>
          <w:sz w:val="32"/>
        </w:rPr>
        <w:t>（一）</w:t>
      </w:r>
      <w:r>
        <w:rPr>
          <w:rFonts w:hint="eastAsia" w:ascii="黑体" w:hAnsi="Times New Roman" w:eastAsia="黑体"/>
          <w:sz w:val="32"/>
        </w:rPr>
        <w:t xml:space="preserve"> </w:t>
      </w:r>
      <w:r>
        <w:rPr>
          <w:rFonts w:hint="eastAsia" w:ascii="仿宋_GB2312" w:hAnsi="Times New Roman" w:eastAsia="仿宋_GB2312"/>
          <w:b/>
          <w:sz w:val="32"/>
        </w:rPr>
        <w:t>一般公共预算财政拨款收入决算总体情况。</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2017年度一般公共预算财政拨款收入309.44万元，占本年收入的70.1%。与2016年相比，一般公共预算财政拨款收入增加64.76万元，增长26.47%。主要原因一是增人增资；二是用于扶贫及文明创建工作等重点工作的支出增加。</w:t>
      </w:r>
    </w:p>
    <w:p>
      <w:pPr>
        <w:autoSpaceDE w:val="0"/>
        <w:autoSpaceDN w:val="0"/>
        <w:adjustRightInd w:val="0"/>
        <w:spacing w:beforeLines="0" w:afterLines="0"/>
        <w:ind w:firstLine="628"/>
        <w:rPr>
          <w:rFonts w:hint="default" w:ascii="仿宋_GB2312" w:hAnsi="Times New Roman" w:eastAsia="仿宋_GB2312"/>
          <w:b/>
          <w:sz w:val="32"/>
        </w:rPr>
      </w:pPr>
      <w:r>
        <w:rPr>
          <w:rFonts w:hint="eastAsia" w:ascii="仿宋_GB2312" w:hAnsi="Times New Roman" w:eastAsia="仿宋_GB2312"/>
          <w:b/>
          <w:sz w:val="32"/>
        </w:rPr>
        <w:t>（二）一般公共预算财政拨款支出决算总体情况。</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2017年度一般公共预算财政拨款支出309.06万元，占本年支出的73.4%。与2016年相比，一般公共预算财政拨款支出增加55.26万元，增长21.78%。主要原因一是增人增资；二是用于扶贫及文明创建工作等重点工作的支出增加。</w:t>
      </w:r>
    </w:p>
    <w:p>
      <w:pPr>
        <w:autoSpaceDE w:val="0"/>
        <w:autoSpaceDN w:val="0"/>
        <w:adjustRightInd w:val="0"/>
        <w:spacing w:beforeLines="0" w:afterLines="0"/>
        <w:ind w:firstLine="628"/>
        <w:rPr>
          <w:rFonts w:hint="default" w:ascii="仿宋_GB2312" w:hAnsi="Times New Roman" w:eastAsia="仿宋_GB2312"/>
          <w:b/>
          <w:sz w:val="32"/>
        </w:rPr>
      </w:pPr>
      <w:r>
        <w:rPr>
          <w:rFonts w:hint="eastAsia" w:ascii="仿宋_GB2312" w:hAnsi="Times New Roman" w:eastAsia="仿宋_GB2312"/>
          <w:b/>
          <w:sz w:val="32"/>
        </w:rPr>
        <w:t>（三）一般公共预算财政拨款支出决算结构情况。</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2017年一般公共预算财政拨款支出309.06万元，主要用于以下方面：</w:t>
      </w:r>
      <w:r>
        <w:rPr>
          <w:rFonts w:hint="eastAsia" w:ascii="仿宋_GB2312" w:hAnsi="Times New Roman" w:eastAsia="仿宋_GB2312"/>
          <w:b/>
          <w:sz w:val="32"/>
        </w:rPr>
        <w:t>一般公共服务（类）</w:t>
      </w:r>
      <w:r>
        <w:rPr>
          <w:rFonts w:hint="eastAsia" w:ascii="仿宋_GB2312" w:hAnsi="Times New Roman" w:eastAsia="仿宋_GB2312"/>
          <w:sz w:val="32"/>
        </w:rPr>
        <w:t>支出274.42万元，占88.79%;</w:t>
      </w:r>
      <w:r>
        <w:rPr>
          <w:rFonts w:hint="eastAsia" w:ascii="仿宋_GB2312" w:hAnsi="Times New Roman" w:eastAsia="仿宋_GB2312"/>
          <w:b/>
          <w:sz w:val="32"/>
        </w:rPr>
        <w:t>文化体育与传媒（类）</w:t>
      </w:r>
      <w:r>
        <w:rPr>
          <w:rFonts w:hint="eastAsia" w:ascii="仿宋_GB2312" w:hAnsi="Times New Roman" w:eastAsia="仿宋_GB2312"/>
          <w:sz w:val="32"/>
        </w:rPr>
        <w:t>支出13万元，占4.21%；</w:t>
      </w:r>
      <w:r>
        <w:rPr>
          <w:rFonts w:hint="eastAsia" w:ascii="仿宋_GB2312" w:hAnsi="Times New Roman" w:eastAsia="仿宋_GB2312"/>
          <w:b/>
          <w:sz w:val="32"/>
        </w:rPr>
        <w:t>社会保障和就业（类）</w:t>
      </w:r>
      <w:r>
        <w:rPr>
          <w:rFonts w:hint="eastAsia" w:ascii="仿宋_GB2312" w:hAnsi="Times New Roman" w:eastAsia="仿宋_GB2312"/>
          <w:sz w:val="32"/>
        </w:rPr>
        <w:t>支出0.32万元，占0.1%；</w:t>
      </w:r>
      <w:r>
        <w:rPr>
          <w:rFonts w:hint="eastAsia" w:ascii="仿宋_GB2312" w:hAnsi="Times New Roman" w:eastAsia="仿宋_GB2312"/>
          <w:b/>
          <w:sz w:val="32"/>
        </w:rPr>
        <w:t>医疗卫生与计划生育（类）</w:t>
      </w:r>
      <w:r>
        <w:rPr>
          <w:rFonts w:hint="eastAsia" w:ascii="仿宋_GB2312" w:hAnsi="Times New Roman" w:eastAsia="仿宋_GB2312"/>
          <w:sz w:val="32"/>
        </w:rPr>
        <w:t>支出8.86万元，占2.87%；</w:t>
      </w:r>
      <w:r>
        <w:rPr>
          <w:rFonts w:hint="eastAsia" w:ascii="仿宋_GB2312" w:hAnsi="Times New Roman" w:eastAsia="仿宋_GB2312"/>
          <w:b/>
          <w:sz w:val="32"/>
        </w:rPr>
        <w:t>住房保障（类）</w:t>
      </w:r>
      <w:r>
        <w:rPr>
          <w:rFonts w:hint="eastAsia" w:ascii="仿宋_GB2312" w:hAnsi="Times New Roman" w:eastAsia="仿宋_GB2312"/>
          <w:sz w:val="32"/>
        </w:rPr>
        <w:t>支出12.47万元，占4.03%。</w:t>
      </w:r>
    </w:p>
    <w:p>
      <w:pPr>
        <w:autoSpaceDE w:val="0"/>
        <w:autoSpaceDN w:val="0"/>
        <w:adjustRightInd w:val="0"/>
        <w:spacing w:beforeLines="0" w:afterLines="0"/>
        <w:ind w:firstLine="628"/>
        <w:rPr>
          <w:rFonts w:hint="default" w:ascii="仿宋_GB2312" w:hAnsi="Times New Roman" w:eastAsia="仿宋_GB2312"/>
          <w:b/>
          <w:sz w:val="32"/>
        </w:rPr>
      </w:pPr>
      <w:r>
        <w:rPr>
          <w:rFonts w:hint="eastAsia" w:ascii="仿宋_GB2312" w:hAnsi="Times New Roman" w:eastAsia="仿宋_GB2312"/>
          <w:b/>
          <w:sz w:val="32"/>
        </w:rPr>
        <w:t>（四）</w:t>
      </w:r>
      <w:r>
        <w:rPr>
          <w:rFonts w:hint="eastAsia" w:ascii="黑体" w:hAnsi="Times New Roman" w:eastAsia="黑体"/>
          <w:sz w:val="32"/>
        </w:rPr>
        <w:t xml:space="preserve"> </w:t>
      </w:r>
      <w:r>
        <w:rPr>
          <w:rFonts w:hint="eastAsia" w:ascii="仿宋_GB2312" w:hAnsi="Times New Roman" w:eastAsia="仿宋_GB2312"/>
          <w:b/>
          <w:sz w:val="32"/>
        </w:rPr>
        <w:t>一般公共预算财政拨款支出决算具体情况。</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2017年度一般公共预算财政拨款支出年初预算为238.23万元，支出决算为309.06万元，完成年初预算的129.73%。决算数大于预算数的主要原因: 一是增人增资；二是用于扶贫及文明创建工作等重点工作的支出增加。其中:基本支出290.06万元，占93.85%；项目支出19万元，占6.15%。具体情况如下：</w:t>
      </w:r>
    </w:p>
    <w:p>
      <w:pPr>
        <w:numPr>
          <w:ilvl w:val="0"/>
          <w:numId w:val="2"/>
        </w:num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b/>
          <w:sz w:val="32"/>
        </w:rPr>
        <w:t>一般公共服务（类）政府办公厅（室）及相关机构事务（款）行政运行（项）</w:t>
      </w:r>
      <w:r>
        <w:rPr>
          <w:rFonts w:hint="eastAsia" w:ascii="仿宋_GB2312" w:hAnsi="Times New Roman" w:eastAsia="仿宋_GB2312"/>
          <w:sz w:val="32"/>
        </w:rPr>
        <w:t>。年初预算为20.21万元，支出决算为19.37万元，完成年初预算的95.84%，决算数小于预算数的主要原因是节约开支。</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b/>
          <w:sz w:val="32"/>
        </w:rPr>
        <w:t>2. 一般公共服务（类）政府办公厅（室）及相关机构事务（款）其他政府办公厅（室）及相关机构事务支出（项）</w:t>
      </w:r>
      <w:r>
        <w:rPr>
          <w:rFonts w:hint="eastAsia" w:ascii="仿宋_GB2312" w:hAnsi="Times New Roman" w:eastAsia="仿宋_GB2312"/>
          <w:sz w:val="32"/>
        </w:rPr>
        <w:t>。年初预算为0万元，支出决算为4.5万元，超过年初预算4.5万元，决算数大于预算数的主要原因是根据实际工作安排产生的支出。</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b/>
          <w:sz w:val="32"/>
        </w:rPr>
        <w:t>3.一般公共服务（类）群众团体事务（款）行政运行（项）</w:t>
      </w:r>
      <w:r>
        <w:rPr>
          <w:rFonts w:hint="eastAsia" w:ascii="仿宋_GB2312" w:hAnsi="Times New Roman" w:eastAsia="仿宋_GB2312"/>
          <w:sz w:val="32"/>
        </w:rPr>
        <w:t>。年初预算为162.01万元，支出决算为208.99万元，完成年初预算的129%，决算数大于预算数的主要原因是人员增加，工资薪金调整。</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sz w:val="32"/>
        </w:rPr>
        <w:t>4.</w:t>
      </w:r>
      <w:r>
        <w:rPr>
          <w:rFonts w:hint="eastAsia" w:ascii="仿宋_GB2312" w:hAnsi="Times New Roman" w:eastAsia="仿宋_GB2312"/>
          <w:b/>
          <w:sz w:val="32"/>
        </w:rPr>
        <w:t>一般公共服务（类）群众团体事务（款）一般行政管理事务（项）</w:t>
      </w:r>
      <w:r>
        <w:rPr>
          <w:rFonts w:hint="eastAsia" w:ascii="仿宋_GB2312" w:hAnsi="Times New Roman" w:eastAsia="仿宋_GB2312"/>
          <w:sz w:val="32"/>
        </w:rPr>
        <w:t>。年初预算为14万元，支出决算为19万元，完成年初预算的136.71%，决算数大于预算数的主要原因是本年度围绕妇女发展，家庭教育方面开展活动较多。</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sz w:val="32"/>
        </w:rPr>
        <w:t>5.</w:t>
      </w:r>
      <w:r>
        <w:rPr>
          <w:rFonts w:hint="eastAsia" w:ascii="仿宋_GB2312" w:hAnsi="Times New Roman" w:eastAsia="仿宋_GB2312"/>
          <w:b/>
          <w:sz w:val="32"/>
        </w:rPr>
        <w:t xml:space="preserve"> 一般公共服务（类）群众团体事务（款）其他群众团体事务支出（项）</w:t>
      </w:r>
      <w:r>
        <w:rPr>
          <w:rFonts w:hint="eastAsia" w:ascii="仿宋_GB2312" w:hAnsi="Times New Roman" w:eastAsia="仿宋_GB2312"/>
          <w:sz w:val="32"/>
        </w:rPr>
        <w:t>。年初预算为0万元，支出决算为22.56万元，超过年初预算22.56万元，决算数大于预算数的主要原因是根据实际工作安排，项目资金调整。</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sz w:val="32"/>
        </w:rPr>
        <w:t>6.</w:t>
      </w:r>
      <w:r>
        <w:rPr>
          <w:rFonts w:hint="eastAsia" w:ascii="仿宋_GB2312" w:hAnsi="Times New Roman" w:eastAsia="仿宋_GB2312"/>
          <w:b/>
          <w:sz w:val="32"/>
        </w:rPr>
        <w:t>社会保障和就业支出（类）财政对其他社会保险基金的补助（款）财政对生育保险基金的补助（项）</w:t>
      </w:r>
      <w:r>
        <w:rPr>
          <w:rFonts w:hint="eastAsia" w:ascii="仿宋_GB2312" w:hAnsi="Times New Roman" w:eastAsia="仿宋_GB2312"/>
          <w:sz w:val="32"/>
        </w:rPr>
        <w:t>，年初预算为0.32万元，支出决算为0.32万元，收支平衡。</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sz w:val="32"/>
        </w:rPr>
        <w:t>7.</w:t>
      </w:r>
      <w:r>
        <w:rPr>
          <w:rFonts w:hint="default"/>
          <w:sz w:val="21"/>
        </w:rPr>
        <w:t xml:space="preserve"> </w:t>
      </w:r>
      <w:r>
        <w:rPr>
          <w:rFonts w:hint="eastAsia" w:ascii="仿宋_GB2312" w:hAnsi="Times New Roman" w:eastAsia="仿宋_GB2312"/>
          <w:b/>
          <w:sz w:val="32"/>
        </w:rPr>
        <w:t>文化体育与传媒支出（类）文化（款）其他文化支出（项）</w:t>
      </w:r>
      <w:r>
        <w:rPr>
          <w:rFonts w:hint="eastAsia" w:ascii="仿宋_GB2312" w:hAnsi="Times New Roman" w:eastAsia="仿宋_GB2312"/>
          <w:sz w:val="32"/>
        </w:rPr>
        <w:t>，年初预算为0万元，支出决算为13万元，超过年初预算13万元，决算数大于预算数的主要原因是项目资金调整。</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sz w:val="32"/>
        </w:rPr>
        <w:t>8.</w:t>
      </w:r>
      <w:r>
        <w:rPr>
          <w:rFonts w:hint="default"/>
          <w:sz w:val="21"/>
        </w:rPr>
        <w:t xml:space="preserve"> </w:t>
      </w:r>
      <w:r>
        <w:rPr>
          <w:rFonts w:hint="eastAsia" w:ascii="仿宋_GB2312" w:hAnsi="Times New Roman" w:eastAsia="仿宋_GB2312"/>
          <w:b/>
          <w:sz w:val="32"/>
        </w:rPr>
        <w:t>医疗卫生与计划生育支出（类）医疗保障（款）行政单位医疗（项）</w:t>
      </w:r>
      <w:r>
        <w:rPr>
          <w:rFonts w:hint="eastAsia" w:ascii="仿宋_GB2312" w:hAnsi="Times New Roman" w:eastAsia="仿宋_GB2312"/>
          <w:sz w:val="32"/>
        </w:rPr>
        <w:t>，年初预算为7.03万元，支出决算为8.86万元，完成年初预算的126.03%，决算数大于预算数的主要原因是人员增加，薪金调整。</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sz w:val="32"/>
        </w:rPr>
        <w:t>10.</w:t>
      </w:r>
      <w:r>
        <w:rPr>
          <w:rFonts w:hint="default"/>
          <w:sz w:val="21"/>
        </w:rPr>
        <w:t xml:space="preserve"> </w:t>
      </w:r>
      <w:r>
        <w:rPr>
          <w:rFonts w:hint="eastAsia" w:ascii="仿宋_GB2312" w:hAnsi="Times New Roman" w:eastAsia="仿宋_GB2312"/>
          <w:b/>
          <w:sz w:val="32"/>
        </w:rPr>
        <w:t>住房保障支出（类）住房改革支出（款）住房公积金（项）</w:t>
      </w:r>
      <w:r>
        <w:rPr>
          <w:rFonts w:hint="eastAsia" w:ascii="仿宋_GB2312" w:hAnsi="Times New Roman" w:eastAsia="仿宋_GB2312"/>
          <w:sz w:val="32"/>
        </w:rPr>
        <w:t>，年初预算为9.51万元，支出决算为9.51万元，收支平衡。</w:t>
      </w:r>
    </w:p>
    <w:p>
      <w:pPr>
        <w:autoSpaceDE w:val="0"/>
        <w:autoSpaceDN w:val="0"/>
        <w:adjustRightInd w:val="0"/>
        <w:spacing w:beforeLines="0" w:afterLines="0"/>
        <w:rPr>
          <w:rFonts w:hint="default" w:ascii="仿宋_GB2312" w:hAnsi="Times New Roman" w:eastAsia="仿宋_GB2312"/>
          <w:sz w:val="32"/>
        </w:rPr>
      </w:pPr>
      <w:r>
        <w:rPr>
          <w:rFonts w:hint="eastAsia" w:ascii="仿宋_GB2312" w:hAnsi="Times New Roman" w:eastAsia="仿宋_GB2312"/>
          <w:sz w:val="32"/>
        </w:rPr>
        <w:t>11.</w:t>
      </w:r>
      <w:r>
        <w:rPr>
          <w:rFonts w:hint="default"/>
          <w:sz w:val="21"/>
        </w:rPr>
        <w:t xml:space="preserve"> </w:t>
      </w:r>
      <w:r>
        <w:rPr>
          <w:rFonts w:hint="eastAsia" w:ascii="仿宋_GB2312" w:hAnsi="Times New Roman" w:eastAsia="仿宋_GB2312"/>
          <w:b/>
          <w:sz w:val="32"/>
        </w:rPr>
        <w:t>住房保障支出（类）住房改革支出（款）住房公积金（项）</w:t>
      </w:r>
      <w:r>
        <w:rPr>
          <w:rFonts w:hint="eastAsia" w:ascii="仿宋_GB2312" w:hAnsi="Times New Roman" w:eastAsia="仿宋_GB2312"/>
          <w:sz w:val="32"/>
        </w:rPr>
        <w:t>，年初预算为2.96万元，支出决算为2.96万元，收支平衡。</w:t>
      </w:r>
    </w:p>
    <w:p>
      <w:pPr>
        <w:autoSpaceDE w:val="0"/>
        <w:autoSpaceDN w:val="0"/>
        <w:adjustRightInd w:val="0"/>
        <w:spacing w:beforeLines="0" w:afterLines="0"/>
        <w:rPr>
          <w:rFonts w:hint="default" w:ascii="仿宋_GB2312" w:hAnsi="Times New Roman" w:eastAsia="仿宋_GB2312"/>
          <w:sz w:val="32"/>
        </w:rPr>
      </w:pP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六、2017年度一般公共预算财政拨款基本支出决算情况说明</w:t>
      </w:r>
    </w:p>
    <w:p>
      <w:pPr>
        <w:autoSpaceDE w:val="0"/>
        <w:autoSpaceDN w:val="0"/>
        <w:adjustRightInd w:val="0"/>
        <w:spacing w:beforeLines="0" w:afterLines="0"/>
        <w:ind w:firstLine="628"/>
        <w:rPr>
          <w:rFonts w:hint="default" w:ascii="仿宋_GB2312" w:hAnsi="Times New Roman" w:eastAsia="仿宋_GB2312"/>
          <w:sz w:val="32"/>
        </w:rPr>
      </w:pPr>
      <w:r>
        <w:rPr>
          <w:rFonts w:hint="eastAsia" w:ascii="仿宋_GB2312" w:hAnsi="Times New Roman" w:eastAsia="仿宋_GB2312"/>
          <w:sz w:val="32"/>
        </w:rPr>
        <w:t>2017年度财政拨款基本支出290.06万元，其中人员经费205.82万元，主要包括：基本工资、津贴补贴、奖金、其他社会保障缴费、机关事业单位基本养老保险缴费、伙食补助费、其他工资福利支出、离休费、退休费、医疗费、助学金、奖励金、住房公积金、提租补贴、其他对个人和家庭补助支出；公用经费84.24万元，主要包括：办公费、印刷费、电费、邮电费、物业管理费、差旅费、维修（护）费、租赁费、会议费、培训费、公务接待费、劳务费、工会经费、其他交通费用、其他商品服务支出、办公设备购置、信息网络及软件购置更新、其他资本性支出。</w:t>
      </w: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七、2017年度政府性基金财政拨款收入支出情况说明</w:t>
      </w:r>
    </w:p>
    <w:p>
      <w:pPr>
        <w:autoSpaceDE w:val="0"/>
        <w:autoSpaceDN w:val="0"/>
        <w:adjustRightInd w:val="0"/>
        <w:spacing w:beforeLines="0" w:afterLines="0"/>
        <w:ind w:firstLine="628"/>
        <w:rPr>
          <w:rFonts w:hint="default" w:ascii="楷体_GB2312" w:hAnsi="Times New Roman" w:eastAsia="楷体_GB2312"/>
          <w:sz w:val="32"/>
        </w:rPr>
      </w:pPr>
      <w:r>
        <w:rPr>
          <w:rFonts w:hint="eastAsia" w:ascii="楷体_GB2312" w:hAnsi="Times New Roman" w:eastAsia="楷体_GB2312"/>
          <w:sz w:val="32"/>
        </w:rPr>
        <w:t>妇女联合会没有政府性基金收入，也没有使用政府性基金安排的支出。</w:t>
      </w:r>
    </w:p>
    <w:p>
      <w:pPr>
        <w:autoSpaceDE w:val="0"/>
        <w:autoSpaceDN w:val="0"/>
        <w:adjustRightInd w:val="0"/>
        <w:spacing w:beforeLines="0" w:afterLines="0" w:line="600" w:lineRule="exact"/>
        <w:ind w:firstLine="628"/>
        <w:rPr>
          <w:rFonts w:hint="default" w:ascii="黑体" w:hAnsi="Times New Roman" w:eastAsia="黑体"/>
          <w:sz w:val="32"/>
        </w:rPr>
      </w:pPr>
      <w:r>
        <w:rPr>
          <w:rFonts w:hint="eastAsia" w:ascii="黑体" w:hAnsi="Times New Roman" w:eastAsia="黑体"/>
          <w:sz w:val="32"/>
        </w:rPr>
        <w:t>八、其他重要事项的情况说明</w:t>
      </w:r>
    </w:p>
    <w:p>
      <w:pPr>
        <w:autoSpaceDE w:val="0"/>
        <w:autoSpaceDN w:val="0"/>
        <w:adjustRightInd w:val="0"/>
        <w:spacing w:beforeLines="0" w:afterLines="0" w:line="600" w:lineRule="exact"/>
        <w:ind w:firstLine="628"/>
        <w:rPr>
          <w:rFonts w:hint="default" w:ascii="仿宋_GB2312" w:hAnsi="Times New Roman" w:eastAsia="仿宋_GB2312"/>
          <w:b/>
          <w:sz w:val="32"/>
        </w:rPr>
      </w:pPr>
      <w:r>
        <w:rPr>
          <w:rFonts w:hint="eastAsia" w:ascii="仿宋_GB2312" w:hAnsi="Times New Roman" w:eastAsia="仿宋_GB2312"/>
          <w:b/>
          <w:sz w:val="32"/>
        </w:rPr>
        <w:t>（一）机关运行经费支出情况。</w:t>
      </w:r>
    </w:p>
    <w:p>
      <w:pPr>
        <w:autoSpaceDE w:val="0"/>
        <w:autoSpaceDN w:val="0"/>
        <w:adjustRightInd w:val="0"/>
        <w:spacing w:beforeLines="0" w:afterLines="0" w:line="600" w:lineRule="exact"/>
        <w:ind w:firstLine="628"/>
        <w:rPr>
          <w:rFonts w:hint="default" w:ascii="仿宋_GB2312" w:hAnsi="Times New Roman" w:eastAsia="仿宋_GB2312"/>
          <w:sz w:val="32"/>
        </w:rPr>
      </w:pPr>
      <w:r>
        <w:rPr>
          <w:rFonts w:hint="eastAsia" w:ascii="仿宋_GB2312" w:hAnsi="Times New Roman" w:eastAsia="仿宋_GB2312"/>
          <w:sz w:val="32"/>
        </w:rPr>
        <w:t>2017年度，宿州市妇女联合会机关运行经费支出84.24万元，比2016年增加8.9万元，增长11.81%，主要原因是物价上涨、业务量增大，所需办公费、印刷费、邮电费、差旅费相应增加。</w:t>
      </w:r>
    </w:p>
    <w:p>
      <w:pPr>
        <w:autoSpaceDE w:val="0"/>
        <w:autoSpaceDN w:val="0"/>
        <w:adjustRightInd w:val="0"/>
        <w:spacing w:beforeLines="0" w:afterLines="0" w:line="600" w:lineRule="exact"/>
        <w:ind w:firstLine="628"/>
        <w:rPr>
          <w:rFonts w:hint="default" w:ascii="仿宋_GB2312" w:hAnsi="Times New Roman" w:eastAsia="仿宋_GB2312"/>
          <w:b/>
          <w:sz w:val="32"/>
        </w:rPr>
      </w:pPr>
      <w:r>
        <w:rPr>
          <w:rFonts w:hint="eastAsia" w:ascii="仿宋_GB2312" w:hAnsi="Times New Roman" w:eastAsia="仿宋_GB2312"/>
          <w:b/>
          <w:sz w:val="32"/>
        </w:rPr>
        <w:t>（二）政府采购支出情况。</w:t>
      </w:r>
    </w:p>
    <w:p>
      <w:pPr>
        <w:autoSpaceDE w:val="0"/>
        <w:autoSpaceDN w:val="0"/>
        <w:adjustRightInd w:val="0"/>
        <w:spacing w:beforeLines="0" w:afterLines="0" w:line="600" w:lineRule="exact"/>
        <w:ind w:firstLine="628"/>
        <w:rPr>
          <w:rFonts w:hint="default" w:ascii="仿宋_GB2312" w:hAnsi="Times New Roman" w:eastAsia="仿宋_GB2312"/>
          <w:sz w:val="32"/>
        </w:rPr>
      </w:pPr>
      <w:r>
        <w:rPr>
          <w:rFonts w:hint="eastAsia" w:ascii="仿宋_GB2312" w:hAnsi="Times New Roman" w:eastAsia="仿宋_GB2312"/>
          <w:sz w:val="32"/>
        </w:rPr>
        <w:t>2017年度，宿州市妇女联合会政府采购支出总额2.09万元，其中：政府采购货物支出2.09万元，政府采购工程支出0万元、政府采购服务支出0万元。授予中小企业合同金额0万元。</w:t>
      </w:r>
    </w:p>
    <w:p>
      <w:pPr>
        <w:autoSpaceDE w:val="0"/>
        <w:autoSpaceDN w:val="0"/>
        <w:adjustRightInd w:val="0"/>
        <w:spacing w:beforeLines="0" w:afterLines="0" w:line="600" w:lineRule="exact"/>
        <w:ind w:firstLine="628"/>
        <w:rPr>
          <w:rFonts w:hint="default" w:ascii="仿宋_GB2312" w:hAnsi="Times New Roman" w:eastAsia="仿宋_GB2312"/>
          <w:b/>
          <w:sz w:val="32"/>
        </w:rPr>
      </w:pPr>
      <w:r>
        <w:rPr>
          <w:rFonts w:hint="eastAsia" w:ascii="仿宋_GB2312" w:hAnsi="Times New Roman" w:eastAsia="仿宋_GB2312"/>
          <w:b/>
          <w:sz w:val="32"/>
        </w:rPr>
        <w:t>（三）国有资产占有使用情况。</w:t>
      </w:r>
    </w:p>
    <w:p>
      <w:pPr>
        <w:autoSpaceDE w:val="0"/>
        <w:autoSpaceDN w:val="0"/>
        <w:adjustRightInd w:val="0"/>
        <w:spacing w:beforeLines="0" w:afterLines="0" w:line="600" w:lineRule="exact"/>
        <w:ind w:firstLine="628"/>
        <w:rPr>
          <w:rFonts w:hint="default" w:ascii="仿宋_GB2312" w:hAnsi="Times New Roman" w:eastAsia="仿宋_GB2312"/>
          <w:b/>
          <w:sz w:val="32"/>
        </w:rPr>
      </w:pPr>
      <w:r>
        <w:rPr>
          <w:rFonts w:hint="eastAsia" w:ascii="仿宋_GB2312" w:hAnsi="Times New Roman" w:eastAsia="仿宋_GB2312"/>
          <w:sz w:val="32"/>
        </w:rPr>
        <w:t>截至2017年12月31日，宿州市妇女联合会共有车辆1辆，其中：一般公务用车1辆；单价50万元以上的通用设备0台（套），单价100万以上专用设备0台（套）。</w:t>
      </w:r>
      <w:r>
        <w:rPr>
          <w:rFonts w:hint="default" w:ascii="仿宋_GB2312" w:hAnsi="Times New Roman" w:eastAsia="仿宋_GB2312"/>
          <w:sz w:val="32"/>
        </w:rPr>
        <w:br w:type="textWrapping"/>
      </w:r>
      <w:r>
        <w:rPr>
          <w:rFonts w:hint="eastAsia" w:ascii="仿宋_GB2312" w:hAnsi="Times New Roman" w:eastAsia="仿宋_GB2312"/>
          <w:sz w:val="32"/>
        </w:rPr>
        <w:t xml:space="preserve"> </w:t>
      </w:r>
      <w:r>
        <w:rPr>
          <w:rFonts w:hint="eastAsia" w:ascii="仿宋_GB2312" w:hAnsi="Times New Roman" w:eastAsia="仿宋_GB2312"/>
          <w:b/>
          <w:i/>
          <w:sz w:val="32"/>
        </w:rPr>
        <w:t xml:space="preserve"> </w:t>
      </w:r>
      <w:r>
        <w:rPr>
          <w:rFonts w:hint="eastAsia" w:ascii="仿宋_GB2312" w:hAnsi="Times New Roman" w:eastAsia="仿宋_GB2312"/>
          <w:sz w:val="32"/>
        </w:rPr>
        <w:t xml:space="preserve"> </w:t>
      </w:r>
      <w:r>
        <w:rPr>
          <w:rFonts w:hint="eastAsia" w:ascii="仿宋_GB2312" w:hAnsi="Times New Roman" w:eastAsia="仿宋_GB2312"/>
          <w:b/>
          <w:sz w:val="32"/>
        </w:rPr>
        <w:t>（四）关于2017年度预算绩效情况说明</w:t>
      </w:r>
    </w:p>
    <w:p>
      <w:pPr>
        <w:autoSpaceDE w:val="0"/>
        <w:autoSpaceDN w:val="0"/>
        <w:adjustRightInd w:val="0"/>
        <w:spacing w:beforeLines="0" w:afterLines="0" w:line="600" w:lineRule="exact"/>
        <w:ind w:firstLine="628"/>
        <w:rPr>
          <w:rFonts w:hint="default" w:ascii="楷体_GB2312" w:hAnsi="Times New Roman" w:eastAsia="楷体_GB2312"/>
          <w:sz w:val="32"/>
        </w:rPr>
      </w:pPr>
      <w:r>
        <w:rPr>
          <w:rFonts w:hint="eastAsia" w:ascii="仿宋_GB2312" w:hAnsi="Times New Roman" w:eastAsia="仿宋_GB2312"/>
          <w:sz w:val="32"/>
        </w:rPr>
        <w:t>2017年度宿州市妇女联合会暂无预算绩效评价。</w:t>
      </w:r>
    </w:p>
    <w:p>
      <w:pPr>
        <w:autoSpaceDE w:val="0"/>
        <w:autoSpaceDN w:val="0"/>
        <w:adjustRightInd w:val="0"/>
        <w:spacing w:beforeLines="0" w:afterLines="0" w:line="600" w:lineRule="exact"/>
        <w:ind w:firstLine="628"/>
        <w:rPr>
          <w:rFonts w:hint="default" w:ascii="黑体" w:hAnsi="Times New Roman" w:eastAsia="黑体"/>
          <w:sz w:val="32"/>
        </w:rPr>
      </w:pPr>
      <w:r>
        <w:rPr>
          <w:rFonts w:hint="eastAsia" w:ascii="黑体" w:hAnsi="Times New Roman" w:eastAsia="黑体"/>
          <w:sz w:val="32"/>
        </w:rPr>
        <w:t>第四部分 名词解释</w:t>
      </w:r>
    </w:p>
    <w:p>
      <w:pPr>
        <w:autoSpaceDE w:val="0"/>
        <w:autoSpaceDN w:val="0"/>
        <w:adjustRightInd w:val="0"/>
        <w:spacing w:beforeLines="0" w:afterLines="0" w:line="600" w:lineRule="exact"/>
        <w:ind w:firstLine="628"/>
        <w:rPr>
          <w:rFonts w:hint="default" w:ascii="仿宋_GB2312" w:hAnsi="Times New Roman" w:eastAsia="仿宋_GB2312"/>
          <w:sz w:val="32"/>
        </w:rPr>
      </w:pPr>
      <w:r>
        <w:rPr>
          <w:rFonts w:hint="eastAsia" w:ascii="仿宋_GB2312" w:hAnsi="Times New Roman" w:eastAsia="仿宋_GB2312"/>
          <w:b/>
          <w:sz w:val="32"/>
        </w:rPr>
        <w:t>一、财政拨款收入：</w:t>
      </w:r>
      <w:r>
        <w:rPr>
          <w:rFonts w:hint="eastAsia" w:ascii="仿宋_GB2312" w:hAnsi="Times New Roman" w:eastAsia="仿宋_GB2312"/>
          <w:sz w:val="32"/>
        </w:rPr>
        <w:t>指单位从同级财政部门取得的财政预算资金。</w:t>
      </w:r>
    </w:p>
    <w:p>
      <w:pPr>
        <w:autoSpaceDE w:val="0"/>
        <w:autoSpaceDN w:val="0"/>
        <w:adjustRightInd w:val="0"/>
        <w:spacing w:beforeLines="0" w:afterLines="0" w:line="600" w:lineRule="exact"/>
        <w:ind w:firstLine="628"/>
        <w:rPr>
          <w:rFonts w:hint="default" w:ascii="仿宋_GB2312" w:hAnsi="Times New Roman" w:eastAsia="仿宋_GB2312"/>
          <w:sz w:val="32"/>
        </w:rPr>
      </w:pPr>
      <w:r>
        <w:rPr>
          <w:rFonts w:hint="eastAsia" w:ascii="仿宋_GB2312" w:hAnsi="Times New Roman" w:eastAsia="仿宋_GB2312"/>
          <w:b/>
          <w:sz w:val="32"/>
        </w:rPr>
        <w:t>二、事业收入：</w:t>
      </w:r>
      <w:r>
        <w:rPr>
          <w:rFonts w:hint="eastAsia" w:ascii="仿宋_GB2312" w:hAnsi="Times New Roman" w:eastAsia="仿宋_GB2312"/>
          <w:sz w:val="32"/>
        </w:rPr>
        <w:t>指事业单位开展专业业务活动及辅助活动所取得的收入。</w:t>
      </w:r>
    </w:p>
    <w:p>
      <w:pPr>
        <w:autoSpaceDE w:val="0"/>
        <w:autoSpaceDN w:val="0"/>
        <w:adjustRightInd w:val="0"/>
        <w:spacing w:before="100" w:beforeLines="0" w:after="100" w:afterLines="0" w:line="600" w:lineRule="exact"/>
        <w:ind w:firstLine="616"/>
        <w:jc w:val="left"/>
        <w:rPr>
          <w:rFonts w:hint="default" w:ascii="仿宋_GB2312" w:hAnsi="Times New Roman" w:eastAsia="仿宋_GB2312"/>
          <w:b/>
          <w:kern w:val="0"/>
          <w:sz w:val="24"/>
        </w:rPr>
      </w:pPr>
      <w:r>
        <w:rPr>
          <w:rFonts w:hint="eastAsia" w:ascii="仿宋_GB2312" w:hAnsi="Times New Roman" w:eastAsia="仿宋_GB2312"/>
          <w:b/>
          <w:kern w:val="0"/>
          <w:sz w:val="32"/>
        </w:rPr>
        <w:t>三、上级补助收入：</w:t>
      </w:r>
      <w:r>
        <w:rPr>
          <w:rFonts w:hint="eastAsia" w:ascii="仿宋_GB2312" w:hAnsi="Times New Roman" w:eastAsia="仿宋_GB2312"/>
          <w:kern w:val="0"/>
          <w:sz w:val="32"/>
        </w:rPr>
        <w:t>指</w:t>
      </w:r>
      <w:r>
        <w:rPr>
          <w:rFonts w:hint="eastAsia" w:ascii="仿宋_GB2312" w:hAnsi="Times New Roman" w:eastAsia="仿宋_GB2312"/>
          <w:sz w:val="32"/>
        </w:rPr>
        <w:t>事业单位从主管部门和上级单位取得的非财政补助收入。</w:t>
      </w:r>
    </w:p>
    <w:p>
      <w:pPr>
        <w:autoSpaceDE w:val="0"/>
        <w:autoSpaceDN w:val="0"/>
        <w:adjustRightInd w:val="0"/>
        <w:spacing w:beforeLines="0" w:afterLines="0" w:line="600" w:lineRule="exact"/>
        <w:ind w:firstLine="616"/>
        <w:jc w:val="left"/>
        <w:rPr>
          <w:rFonts w:hint="default" w:ascii="仿宋_GB2312" w:hAnsi="Times New Roman" w:eastAsia="仿宋_GB2312"/>
          <w:kern w:val="0"/>
          <w:sz w:val="32"/>
        </w:rPr>
      </w:pPr>
      <w:r>
        <w:rPr>
          <w:rFonts w:hint="eastAsia" w:ascii="仿宋_GB2312" w:hAnsi="Times New Roman" w:eastAsia="仿宋_GB2312"/>
          <w:b/>
          <w:kern w:val="0"/>
          <w:sz w:val="32"/>
        </w:rPr>
        <w:t>四、附属单位上缴收入：</w:t>
      </w:r>
      <w:r>
        <w:rPr>
          <w:rFonts w:hint="eastAsia" w:ascii="仿宋_GB2312" w:hAnsi="Times New Roman" w:eastAsia="仿宋_GB2312"/>
          <w:kern w:val="0"/>
          <w:sz w:val="32"/>
        </w:rPr>
        <w:t>指事业单位附属独立核算单位按照有关规定上缴的收入。</w:t>
      </w:r>
    </w:p>
    <w:p>
      <w:pPr>
        <w:autoSpaceDE w:val="0"/>
        <w:autoSpaceDN w:val="0"/>
        <w:adjustRightInd w:val="0"/>
        <w:spacing w:beforeLines="0" w:afterLines="0" w:line="600" w:lineRule="exact"/>
        <w:ind w:firstLine="616"/>
        <w:jc w:val="left"/>
        <w:rPr>
          <w:rFonts w:hint="default" w:ascii="仿宋_GB2312" w:hAnsi="Times New Roman" w:eastAsia="仿宋_GB2312"/>
          <w:kern w:val="0"/>
          <w:sz w:val="32"/>
        </w:rPr>
      </w:pPr>
      <w:r>
        <w:rPr>
          <w:rFonts w:hint="eastAsia" w:ascii="仿宋_GB2312" w:hAnsi="Times New Roman" w:eastAsia="仿宋_GB2312"/>
          <w:b/>
          <w:kern w:val="0"/>
          <w:sz w:val="32"/>
        </w:rPr>
        <w:t>五、经营收入</w:t>
      </w:r>
      <w:r>
        <w:rPr>
          <w:rFonts w:hint="eastAsia" w:ascii="宋体" w:hAnsi="Times New Roman"/>
          <w:b/>
          <w:color w:val="383535"/>
          <w:kern w:val="0"/>
          <w:sz w:val="24"/>
        </w:rPr>
        <w:t>：</w:t>
      </w:r>
      <w:r>
        <w:rPr>
          <w:rFonts w:hint="eastAsia" w:ascii="仿宋_GB2312" w:hAnsi="Times New Roman" w:eastAsia="仿宋_GB2312"/>
          <w:kern w:val="0"/>
          <w:sz w:val="32"/>
        </w:rPr>
        <w:t>指事业单位在专业业务活动及其辅助活动之外开展非独立核算经营活动取得的收入。</w:t>
      </w:r>
    </w:p>
    <w:p>
      <w:pPr>
        <w:autoSpaceDE w:val="0"/>
        <w:autoSpaceDN w:val="0"/>
        <w:adjustRightInd w:val="0"/>
        <w:spacing w:before="100" w:beforeLines="0" w:after="100" w:afterLines="0" w:line="600" w:lineRule="exact"/>
        <w:ind w:firstLine="616"/>
        <w:jc w:val="left"/>
        <w:rPr>
          <w:rFonts w:hint="default" w:ascii="宋体" w:hAnsi="Times New Roman"/>
          <w:b/>
          <w:kern w:val="0"/>
          <w:sz w:val="24"/>
        </w:rPr>
      </w:pPr>
      <w:r>
        <w:rPr>
          <w:rFonts w:hint="eastAsia" w:ascii="仿宋_GB2312" w:hAnsi="Times New Roman" w:eastAsia="仿宋_GB2312"/>
          <w:b/>
          <w:kern w:val="0"/>
          <w:sz w:val="32"/>
        </w:rPr>
        <w:t>六、其他收入：</w:t>
      </w:r>
      <w:r>
        <w:rPr>
          <w:rFonts w:hint="eastAsia" w:ascii="仿宋_GB2312" w:hAnsi="Times New Roman" w:eastAsia="仿宋_GB2312"/>
          <w:kern w:val="0"/>
          <w:sz w:val="32"/>
        </w:rPr>
        <w:t>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pPr>
        <w:autoSpaceDE w:val="0"/>
        <w:autoSpaceDN w:val="0"/>
        <w:adjustRightInd w:val="0"/>
        <w:spacing w:beforeLines="0" w:afterLines="0" w:line="600" w:lineRule="exact"/>
        <w:ind w:firstLine="616"/>
        <w:jc w:val="left"/>
        <w:rPr>
          <w:rFonts w:hint="default" w:ascii="仿宋_GB2312" w:hAnsi="Times New Roman" w:eastAsia="仿宋_GB2312"/>
          <w:kern w:val="0"/>
          <w:sz w:val="32"/>
        </w:rPr>
      </w:pPr>
      <w:r>
        <w:rPr>
          <w:rFonts w:hint="eastAsia" w:ascii="仿宋_GB2312" w:hAnsi="Times New Roman" w:eastAsia="仿宋_GB2312"/>
          <w:b/>
          <w:kern w:val="0"/>
          <w:sz w:val="32"/>
        </w:rPr>
        <w:t>七、用事业基金弥补收支差额：</w:t>
      </w:r>
      <w:r>
        <w:rPr>
          <w:rFonts w:hint="eastAsia" w:ascii="仿宋_GB2312" w:hAnsi="Times New Roman" w:eastAsia="仿宋_GB2312"/>
          <w:kern w:val="0"/>
          <w:sz w:val="32"/>
        </w:rPr>
        <w:t>指事业单位在当年的财政拨款收入、事业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spacing w:beforeLines="0" w:afterLines="0" w:line="600" w:lineRule="exact"/>
        <w:ind w:firstLine="616"/>
        <w:jc w:val="left"/>
        <w:rPr>
          <w:rFonts w:hint="default" w:ascii="仿宋_GB2312" w:hAnsi="Times New Roman" w:eastAsia="仿宋_GB2312"/>
          <w:kern w:val="0"/>
          <w:sz w:val="32"/>
        </w:rPr>
      </w:pPr>
      <w:r>
        <w:rPr>
          <w:rFonts w:hint="eastAsia" w:ascii="仿宋_GB2312" w:hAnsi="Times New Roman" w:eastAsia="仿宋_GB2312"/>
          <w:b/>
          <w:kern w:val="0"/>
          <w:sz w:val="32"/>
        </w:rPr>
        <w:t>八、年初结转和结余：</w:t>
      </w:r>
      <w:r>
        <w:rPr>
          <w:rFonts w:hint="eastAsia" w:ascii="仿宋_GB2312" w:hAnsi="Times New Roman" w:eastAsia="仿宋_GB2312"/>
          <w:kern w:val="0"/>
          <w:sz w:val="32"/>
        </w:rPr>
        <w:t>指单位以前年度尚未完成、结转到本年按有关规定继续使用的资金。</w:t>
      </w:r>
    </w:p>
    <w:p>
      <w:pPr>
        <w:autoSpaceDE w:val="0"/>
        <w:autoSpaceDN w:val="0"/>
        <w:adjustRightInd w:val="0"/>
        <w:spacing w:beforeLines="0" w:afterLines="0" w:line="600" w:lineRule="exact"/>
        <w:ind w:firstLine="616"/>
        <w:jc w:val="left"/>
        <w:rPr>
          <w:rFonts w:hint="default" w:ascii="仿宋_GB2312" w:hAnsi="Times New Roman" w:eastAsia="仿宋_GB2312"/>
          <w:kern w:val="0"/>
          <w:sz w:val="32"/>
        </w:rPr>
      </w:pPr>
      <w:r>
        <w:rPr>
          <w:rFonts w:hint="eastAsia" w:ascii="仿宋_GB2312" w:hAnsi="Times New Roman" w:eastAsia="仿宋_GB2312"/>
          <w:b/>
          <w:kern w:val="0"/>
          <w:sz w:val="32"/>
        </w:rPr>
        <w:t>九、结余分配：</w:t>
      </w:r>
      <w:r>
        <w:rPr>
          <w:rFonts w:hint="eastAsia" w:ascii="仿宋_GB2312" w:hAnsi="Times New Roman" w:eastAsia="仿宋_GB2312"/>
          <w:kern w:val="0"/>
          <w:sz w:val="32"/>
        </w:rPr>
        <w:t>指事业单位按照会计制度规定缴纳的所得税以及从非财政补助结余中提取的职工福利基金、事业基金。</w:t>
      </w:r>
    </w:p>
    <w:p>
      <w:pPr>
        <w:autoSpaceDE w:val="0"/>
        <w:autoSpaceDN w:val="0"/>
        <w:adjustRightInd w:val="0"/>
        <w:spacing w:beforeLines="0" w:afterLines="0" w:line="600" w:lineRule="exact"/>
        <w:ind w:firstLine="616"/>
        <w:jc w:val="left"/>
        <w:rPr>
          <w:rFonts w:hint="default" w:ascii="仿宋_GB2312" w:hAnsi="Times New Roman" w:eastAsia="仿宋_GB2312"/>
          <w:b/>
          <w:kern w:val="0"/>
          <w:sz w:val="32"/>
        </w:rPr>
      </w:pPr>
      <w:r>
        <w:rPr>
          <w:rFonts w:hint="eastAsia" w:ascii="仿宋_GB2312" w:hAnsi="Times New Roman" w:eastAsia="仿宋_GB2312"/>
          <w:b/>
          <w:kern w:val="0"/>
          <w:sz w:val="32"/>
        </w:rPr>
        <w:t>十、年末结转和结余：</w:t>
      </w:r>
      <w:r>
        <w:rPr>
          <w:rFonts w:hint="eastAsia" w:ascii="仿宋_GB2312" w:hAnsi="Times New Roman" w:eastAsia="仿宋_GB2312"/>
          <w:kern w:val="0"/>
          <w:sz w:val="32"/>
        </w:rPr>
        <w:t>指单位按有关规定结转到下年或以后年度继续使用的资金。</w:t>
      </w:r>
    </w:p>
    <w:p>
      <w:pPr>
        <w:autoSpaceDE w:val="0"/>
        <w:autoSpaceDN w:val="0"/>
        <w:adjustRightInd w:val="0"/>
        <w:spacing w:beforeLines="0" w:afterLines="0" w:line="600" w:lineRule="exact"/>
        <w:ind w:firstLine="616"/>
        <w:jc w:val="left"/>
        <w:rPr>
          <w:rFonts w:hint="default" w:ascii="仿宋_GB2312" w:hAnsi="Times New Roman" w:eastAsia="仿宋_GB2312"/>
          <w:kern w:val="0"/>
          <w:sz w:val="32"/>
        </w:rPr>
      </w:pPr>
      <w:r>
        <w:rPr>
          <w:rFonts w:hint="eastAsia" w:ascii="仿宋_GB2312" w:hAnsi="Times New Roman" w:eastAsia="仿宋_GB2312"/>
          <w:b/>
          <w:kern w:val="0"/>
          <w:sz w:val="32"/>
        </w:rPr>
        <w:t>十一、基本支出：</w:t>
      </w:r>
      <w:r>
        <w:rPr>
          <w:rFonts w:hint="eastAsia" w:ascii="仿宋_GB2312" w:hAnsi="Times New Roman" w:eastAsia="仿宋_GB2312"/>
          <w:kern w:val="0"/>
          <w:sz w:val="32"/>
        </w:rPr>
        <w:t>指单位为保障其机构正常运转、完成日常工作任务而发生的人员支出和公用支出。</w:t>
      </w:r>
    </w:p>
    <w:p>
      <w:pPr>
        <w:autoSpaceDE w:val="0"/>
        <w:autoSpaceDN w:val="0"/>
        <w:adjustRightInd w:val="0"/>
        <w:spacing w:beforeLines="0" w:afterLines="0" w:line="600" w:lineRule="exact"/>
        <w:ind w:firstLine="616"/>
        <w:rPr>
          <w:rFonts w:hint="default" w:ascii="仿宋_GB2312" w:hAnsi="Times New Roman" w:eastAsia="仿宋_GB2312"/>
          <w:kern w:val="0"/>
          <w:sz w:val="32"/>
        </w:rPr>
      </w:pPr>
      <w:r>
        <w:rPr>
          <w:rFonts w:hint="eastAsia" w:ascii="仿宋_GB2312" w:hAnsi="Times New Roman" w:eastAsia="仿宋_GB2312"/>
          <w:b/>
          <w:kern w:val="0"/>
          <w:sz w:val="32"/>
        </w:rPr>
        <w:t>十二、项目支出：</w:t>
      </w:r>
      <w:r>
        <w:rPr>
          <w:rFonts w:hint="eastAsia" w:ascii="仿宋_GB2312" w:hAnsi="Times New Roman" w:eastAsia="仿宋_GB2312"/>
          <w:kern w:val="0"/>
          <w:sz w:val="32"/>
        </w:rPr>
        <w:t>指单位为完成特定行政任务和事业发展目标在基本支出之外所发生的支出。</w:t>
      </w:r>
      <w:r>
        <w:rPr>
          <w:rFonts w:hint="default" w:ascii="仿宋_GB2312" w:hAnsi="Times New Roman" w:eastAsia="仿宋_GB2312"/>
          <w:kern w:val="0"/>
          <w:sz w:val="32"/>
        </w:rPr>
        <w:br w:type="textWrapping"/>
      </w:r>
      <w:r>
        <w:rPr>
          <w:rFonts w:hint="eastAsia" w:ascii="仿宋_GB2312" w:hAnsi="Times New Roman" w:eastAsia="仿宋_GB2312"/>
          <w:kern w:val="0"/>
          <w:sz w:val="32"/>
        </w:rPr>
        <w:t xml:space="preserve">    </w:t>
      </w:r>
      <w:r>
        <w:rPr>
          <w:rFonts w:hint="eastAsia" w:ascii="仿宋_GB2312" w:hAnsi="Times New Roman" w:eastAsia="仿宋_GB2312"/>
          <w:b/>
          <w:kern w:val="0"/>
          <w:sz w:val="32"/>
        </w:rPr>
        <w:t>十三、经营支出：</w:t>
      </w:r>
      <w:r>
        <w:rPr>
          <w:rFonts w:hint="eastAsia" w:ascii="仿宋_GB2312" w:hAnsi="Times New Roman" w:eastAsia="仿宋_GB2312"/>
          <w:kern w:val="0"/>
          <w:sz w:val="32"/>
        </w:rPr>
        <w:t>指事业单位在专业业务活动及其辅助活动之外开展非独立核算经营活动发生的支出。</w:t>
      </w:r>
    </w:p>
    <w:p>
      <w:pPr>
        <w:autoSpaceDE w:val="0"/>
        <w:autoSpaceDN w:val="0"/>
        <w:adjustRightInd w:val="0"/>
        <w:spacing w:beforeLines="0" w:afterLines="0" w:line="600" w:lineRule="exact"/>
        <w:ind w:firstLine="616"/>
        <w:rPr>
          <w:rFonts w:hint="default" w:ascii="仿宋_GB2312" w:hAnsi="Times New Roman" w:eastAsia="仿宋_GB2312"/>
          <w:b/>
          <w:kern w:val="0"/>
          <w:sz w:val="32"/>
        </w:rPr>
      </w:pPr>
      <w:r>
        <w:rPr>
          <w:rFonts w:hint="eastAsia" w:ascii="仿宋_GB2312" w:hAnsi="Times New Roman" w:eastAsia="仿宋_GB2312"/>
          <w:b/>
          <w:kern w:val="0"/>
          <w:sz w:val="32"/>
        </w:rPr>
        <w:t>十四、</w:t>
      </w:r>
      <w:r>
        <w:rPr>
          <w:rFonts w:hint="default" w:ascii="Times New Roman" w:hAnsi="Times New Roman" w:eastAsia="仿宋_GB2312"/>
          <w:b/>
          <w:kern w:val="0"/>
          <w:sz w:val="32"/>
        </w:rPr>
        <w:t>“</w:t>
      </w:r>
      <w:r>
        <w:rPr>
          <w:rFonts w:hint="eastAsia" w:ascii="仿宋_GB2312" w:hAnsi="Times New Roman" w:eastAsia="仿宋_GB2312"/>
          <w:b/>
          <w:kern w:val="0"/>
          <w:sz w:val="32"/>
        </w:rPr>
        <w:t>三公</w:t>
      </w:r>
      <w:r>
        <w:rPr>
          <w:rFonts w:hint="default" w:ascii="Times New Roman" w:hAnsi="Times New Roman" w:eastAsia="仿宋_GB2312"/>
          <w:b/>
          <w:kern w:val="0"/>
          <w:sz w:val="32"/>
        </w:rPr>
        <w:t>”</w:t>
      </w:r>
      <w:r>
        <w:rPr>
          <w:rFonts w:hint="eastAsia" w:ascii="仿宋_GB2312" w:hAnsi="Times New Roman" w:eastAsia="仿宋_GB2312"/>
          <w:b/>
          <w:kern w:val="0"/>
          <w:sz w:val="32"/>
        </w:rPr>
        <w:t>经费：</w:t>
      </w:r>
      <w:r>
        <w:rPr>
          <w:rFonts w:hint="eastAsia" w:ascii="仿宋_GB2312" w:hAnsi="Times New Roman" w:eastAsia="仿宋_GB2312"/>
          <w:kern w:val="0"/>
          <w:sz w:val="32"/>
        </w:rPr>
        <w:t>纳入财政预决算管理的</w:t>
      </w:r>
      <w:r>
        <w:rPr>
          <w:rFonts w:hint="default" w:ascii="Times New Roman" w:hAnsi="Times New Roman" w:eastAsia="仿宋_GB2312"/>
          <w:kern w:val="0"/>
          <w:sz w:val="32"/>
        </w:rPr>
        <w:t>“</w:t>
      </w:r>
      <w:r>
        <w:rPr>
          <w:rFonts w:hint="eastAsia" w:ascii="仿宋_GB2312" w:hAnsi="Times New Roman" w:eastAsia="仿宋_GB2312"/>
          <w:kern w:val="0"/>
          <w:sz w:val="32"/>
        </w:rPr>
        <w:t>三公</w:t>
      </w:r>
      <w:r>
        <w:rPr>
          <w:rFonts w:hint="default" w:ascii="Times New Roman" w:hAnsi="Times New Roman" w:eastAsia="仿宋_GB2312"/>
          <w:kern w:val="0"/>
          <w:sz w:val="32"/>
        </w:rPr>
        <w:t>”</w:t>
      </w:r>
      <w:r>
        <w:rPr>
          <w:rFonts w:hint="eastAsia" w:ascii="仿宋_GB2312" w:hAnsi="Times New Roman" w:eastAsia="仿宋_GB2312"/>
          <w:kern w:val="0"/>
          <w:sz w:val="32"/>
        </w:rPr>
        <w:t>经费，是指单位用财政拨款安排的因公出国（境）费、公务用车购置及运行费和公务接待费，是党政机关维持运转或完成特定工作任务所开支的相关支出，是政府行政开支的一部分。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autoSpaceDE w:val="0"/>
        <w:autoSpaceDN w:val="0"/>
        <w:adjustRightInd w:val="0"/>
        <w:spacing w:beforeLines="0" w:afterLines="0" w:line="600" w:lineRule="exact"/>
        <w:ind w:firstLine="616"/>
        <w:rPr>
          <w:rFonts w:hint="default" w:ascii="仿宋_GB2312" w:hAnsi="Times New Roman" w:eastAsia="仿宋_GB2312"/>
          <w:b/>
          <w:kern w:val="0"/>
          <w:sz w:val="32"/>
        </w:rPr>
      </w:pPr>
      <w:r>
        <w:rPr>
          <w:rFonts w:hint="eastAsia" w:ascii="仿宋_GB2312" w:hAnsi="Times New Roman" w:eastAsia="仿宋_GB2312"/>
          <w:b/>
          <w:kern w:val="0"/>
          <w:sz w:val="32"/>
        </w:rPr>
        <w:t>十五、机关运行经费</w:t>
      </w:r>
      <w:r>
        <w:rPr>
          <w:rFonts w:hint="eastAsia" w:ascii="仿宋_GB2312" w:hAnsi="Times New Roman" w:eastAsia="仿宋_GB2312"/>
          <w:kern w:val="0"/>
          <w:sz w:val="32"/>
        </w:rPr>
        <w:t>：指为保障行政单位（含参照公务员法管理的事业单位）运行用于购买货物和服务的各项资金</w:t>
      </w:r>
      <w:r>
        <w:rPr>
          <w:rFonts w:hint="eastAsia" w:ascii="仿宋_GB2312" w:hAnsi="Times New Roman" w:eastAsia="仿宋_GB2312"/>
          <w:sz w:val="32"/>
        </w:rPr>
        <w:t>，包括办公及印刷费、邮电费、差旅费、会议费、福利费、日常维修费、专用材料费及一般设备购置费、办公用房水电费、办公用房取暖费、办公用房物业管理费、公务用车运行维护费以及其他费用。</w:t>
      </w:r>
    </w:p>
    <w:p>
      <w:pPr>
        <w:autoSpaceDE w:val="0"/>
        <w:autoSpaceDN w:val="0"/>
        <w:adjustRightInd w:val="0"/>
        <w:spacing w:beforeLines="0" w:afterLines="0"/>
        <w:ind w:left="1667" w:hanging="882"/>
        <w:jc w:val="center"/>
        <w:rPr>
          <w:rFonts w:hint="default" w:ascii="仿宋_GB2312" w:hAnsi="Times New Roman" w:eastAsia="仿宋_GB2312"/>
          <w:b/>
          <w:sz w:val="36"/>
        </w:rPr>
      </w:pPr>
    </w:p>
    <w:p>
      <w:pPr>
        <w:autoSpaceDE w:val="0"/>
        <w:autoSpaceDN w:val="0"/>
        <w:adjustRightInd w:val="0"/>
        <w:spacing w:beforeLines="0" w:afterLines="0"/>
        <w:ind w:left="1667" w:hanging="882"/>
        <w:jc w:val="center"/>
        <w:rPr>
          <w:rFonts w:hint="default" w:ascii="仿宋_GB2312" w:hAnsi="Times New Roman" w:eastAsia="仿宋_GB2312"/>
          <w:b/>
          <w:sz w:val="36"/>
        </w:rPr>
      </w:pPr>
    </w:p>
    <w:p>
      <w:pPr>
        <w:autoSpaceDE w:val="0"/>
        <w:autoSpaceDN w:val="0"/>
        <w:adjustRightInd w:val="0"/>
        <w:spacing w:beforeLines="0" w:afterLines="0"/>
        <w:ind w:left="1667" w:hanging="882"/>
        <w:jc w:val="center"/>
        <w:rPr>
          <w:rFonts w:hint="default" w:ascii="仿宋_GB2312" w:hAnsi="Times New Roman" w:eastAsia="仿宋_GB2312"/>
          <w:b/>
          <w:sz w:val="36"/>
        </w:rPr>
      </w:pPr>
      <w:r>
        <w:rPr>
          <w:rFonts w:hint="eastAsia" w:ascii="仿宋_GB2312" w:hAnsi="Times New Roman" w:eastAsia="仿宋_GB2312"/>
          <w:b/>
          <w:sz w:val="36"/>
        </w:rPr>
        <w:t>宿州市妇女联合会</w:t>
      </w:r>
      <w:r>
        <w:rPr>
          <w:rFonts w:hint="eastAsia" w:ascii="宋体" w:hAnsi="Times New Roman"/>
          <w:b/>
          <w:sz w:val="36"/>
        </w:rPr>
        <w:t>2017</w:t>
      </w:r>
      <w:r>
        <w:rPr>
          <w:rFonts w:hint="eastAsia" w:ascii="仿宋_GB2312" w:hAnsi="Times New Roman" w:eastAsia="仿宋_GB2312"/>
          <w:b/>
          <w:sz w:val="36"/>
        </w:rPr>
        <w:t>年一般公共预算财政</w:t>
      </w:r>
    </w:p>
    <w:p>
      <w:pPr>
        <w:autoSpaceDE w:val="0"/>
        <w:autoSpaceDN w:val="0"/>
        <w:adjustRightInd w:val="0"/>
        <w:spacing w:beforeLines="0" w:afterLines="0"/>
        <w:ind w:left="1667" w:hanging="882"/>
        <w:jc w:val="center"/>
        <w:rPr>
          <w:rFonts w:hint="default" w:ascii="仿宋_GB2312" w:hAnsi="Times New Roman" w:eastAsia="仿宋_GB2312"/>
          <w:b/>
          <w:sz w:val="36"/>
        </w:rPr>
      </w:pPr>
      <w:r>
        <w:rPr>
          <w:rFonts w:hint="eastAsia" w:ascii="仿宋_GB2312" w:hAnsi="Times New Roman" w:eastAsia="仿宋_GB2312"/>
          <w:b/>
          <w:sz w:val="36"/>
        </w:rPr>
        <w:t>拨款</w:t>
      </w:r>
      <w:r>
        <w:rPr>
          <w:rFonts w:hint="default" w:ascii="Times New Roman" w:hAnsi="Times New Roman"/>
          <w:b/>
          <w:sz w:val="36"/>
        </w:rPr>
        <w:t>“</w:t>
      </w:r>
      <w:r>
        <w:rPr>
          <w:rFonts w:hint="eastAsia" w:ascii="仿宋_GB2312" w:hAnsi="Times New Roman" w:eastAsia="仿宋_GB2312"/>
          <w:b/>
          <w:sz w:val="36"/>
        </w:rPr>
        <w:t>三公</w:t>
      </w:r>
      <w:r>
        <w:rPr>
          <w:rFonts w:hint="default" w:ascii="Times New Roman" w:hAnsi="Times New Roman" w:eastAsia="仿宋_GB2312"/>
          <w:b/>
          <w:sz w:val="36"/>
        </w:rPr>
        <w:t>”</w:t>
      </w:r>
      <w:r>
        <w:rPr>
          <w:rFonts w:hint="eastAsia" w:ascii="仿宋_GB2312" w:hAnsi="Times New Roman" w:eastAsia="仿宋_GB2312"/>
          <w:b/>
          <w:sz w:val="36"/>
        </w:rPr>
        <w:t>经费支出决算情况说明</w:t>
      </w:r>
    </w:p>
    <w:p>
      <w:pPr>
        <w:autoSpaceDE w:val="0"/>
        <w:autoSpaceDN w:val="0"/>
        <w:adjustRightInd w:val="0"/>
        <w:spacing w:beforeLines="0" w:afterLines="0"/>
        <w:jc w:val="center"/>
        <w:rPr>
          <w:rFonts w:hint="eastAsia" w:ascii="楷体_GB2312" w:hAnsi="Times New Roman" w:eastAsia="楷体_GB2312"/>
          <w:sz w:val="32"/>
        </w:rPr>
      </w:pPr>
      <w:r>
        <w:rPr>
          <w:rFonts w:hint="eastAsia" w:ascii="楷体_GB2312" w:hAnsi="Times New Roman" w:eastAsia="楷体_GB2312"/>
          <w:sz w:val="32"/>
        </w:rPr>
        <w:t xml:space="preserve"> </w:t>
      </w:r>
    </w:p>
    <w:p>
      <w:pPr>
        <w:autoSpaceDE w:val="0"/>
        <w:autoSpaceDN w:val="0"/>
        <w:adjustRightInd w:val="0"/>
        <w:spacing w:beforeLines="0" w:afterLines="0"/>
        <w:jc w:val="center"/>
        <w:rPr>
          <w:rFonts w:hint="eastAsia" w:ascii="楷体_GB2312" w:hAnsi="Times New Roman" w:eastAsia="楷体_GB2312"/>
          <w:sz w:val="32"/>
        </w:rPr>
      </w:pPr>
    </w:p>
    <w:p>
      <w:pPr>
        <w:autoSpaceDE w:val="0"/>
        <w:autoSpaceDN w:val="0"/>
        <w:adjustRightInd w:val="0"/>
        <w:spacing w:beforeLines="0" w:afterLines="0" w:line="360" w:lineRule="auto"/>
        <w:jc w:val="center"/>
        <w:rPr>
          <w:rFonts w:hint="default" w:ascii="仿宋_GB2312" w:hAnsi="Times New Roman" w:eastAsia="仿宋_GB2312"/>
          <w:sz w:val="6"/>
        </w:rPr>
      </w:pPr>
    </w:p>
    <w:p>
      <w:pPr>
        <w:autoSpaceDE w:val="0"/>
        <w:autoSpaceDN w:val="0"/>
        <w:adjustRightInd w:val="0"/>
        <w:spacing w:beforeLines="0" w:afterLines="0"/>
        <w:ind w:firstLine="628"/>
        <w:rPr>
          <w:rFonts w:hint="default" w:ascii="黑体" w:hAnsi="Times New Roman" w:eastAsia="黑体"/>
          <w:sz w:val="32"/>
        </w:rPr>
      </w:pPr>
      <w:r>
        <w:rPr>
          <w:rFonts w:hint="eastAsia" w:ascii="黑体" w:hAnsi="Times New Roman" w:eastAsia="黑体"/>
          <w:sz w:val="32"/>
        </w:rPr>
        <w:t>一、2017年一般公共预算财政拨款</w:t>
      </w:r>
      <w:r>
        <w:rPr>
          <w:rFonts w:hint="default" w:ascii="Times New Roman" w:hAnsi="Times New Roman" w:eastAsia="黑体"/>
          <w:sz w:val="32"/>
        </w:rPr>
        <w:t>“</w:t>
      </w:r>
      <w:r>
        <w:rPr>
          <w:rFonts w:hint="eastAsia" w:ascii="黑体" w:hAnsi="Times New Roman" w:eastAsia="黑体"/>
          <w:sz w:val="32"/>
        </w:rPr>
        <w:t>三公</w:t>
      </w:r>
      <w:r>
        <w:rPr>
          <w:rFonts w:hint="default" w:ascii="Times New Roman" w:hAnsi="Times New Roman" w:eastAsia="黑体"/>
          <w:sz w:val="32"/>
        </w:rPr>
        <w:t>”</w:t>
      </w:r>
      <w:r>
        <w:rPr>
          <w:rFonts w:hint="eastAsia" w:ascii="黑体" w:hAnsi="Times New Roman" w:eastAsia="黑体"/>
          <w:sz w:val="32"/>
        </w:rPr>
        <w:t>经费支出决算表</w:t>
      </w:r>
    </w:p>
    <w:p>
      <w:pPr>
        <w:autoSpaceDE w:val="0"/>
        <w:autoSpaceDN w:val="0"/>
        <w:adjustRightInd w:val="0"/>
        <w:spacing w:beforeLines="0" w:afterLines="0" w:line="360" w:lineRule="auto"/>
        <w:ind w:right="628" w:firstLine="5991"/>
        <w:rPr>
          <w:rFonts w:hint="default" w:ascii="宋体" w:hAnsi="Times New Roman"/>
          <w:sz w:val="32"/>
        </w:rPr>
      </w:pPr>
      <w:r>
        <w:rPr>
          <w:rFonts w:hint="eastAsia" w:ascii="宋体" w:hAnsi="Times New Roman"/>
          <w:sz w:val="32"/>
        </w:rPr>
        <w:t>单位：万元</w:t>
      </w:r>
    </w:p>
    <w:tbl>
      <w:tblPr>
        <w:tblStyle w:val="4"/>
        <w:tblW w:w="76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79"/>
        <w:gridCol w:w="1676"/>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79"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b/>
                <w:kern w:val="0"/>
                <w:sz w:val="32"/>
              </w:rPr>
            </w:pPr>
            <w:r>
              <w:rPr>
                <w:rFonts w:hint="eastAsia" w:ascii="仿宋_GB2312" w:hAnsi="Times New Roman" w:eastAsia="仿宋_GB2312"/>
                <w:b/>
                <w:kern w:val="0"/>
                <w:sz w:val="32"/>
              </w:rPr>
              <w:t>项  目</w:t>
            </w:r>
          </w:p>
        </w:tc>
        <w:tc>
          <w:tcPr>
            <w:tcW w:w="1676" w:type="dxa"/>
            <w:tcBorders>
              <w:top w:val="single" w:color="auto" w:sz="6" w:space="0"/>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b/>
                <w:kern w:val="0"/>
                <w:sz w:val="32"/>
              </w:rPr>
            </w:pPr>
            <w:r>
              <w:rPr>
                <w:rFonts w:hint="eastAsia" w:ascii="仿宋_GB2312" w:hAnsi="Times New Roman" w:eastAsia="仿宋_GB2312"/>
                <w:b/>
                <w:kern w:val="0"/>
                <w:sz w:val="32"/>
              </w:rPr>
              <w:t>预 算 数</w:t>
            </w:r>
          </w:p>
        </w:tc>
        <w:tc>
          <w:tcPr>
            <w:tcW w:w="1565" w:type="dxa"/>
            <w:tcBorders>
              <w:top w:val="single" w:color="auto" w:sz="6" w:space="0"/>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b/>
                <w:kern w:val="0"/>
                <w:sz w:val="32"/>
              </w:rPr>
            </w:pPr>
            <w:r>
              <w:rPr>
                <w:rFonts w:hint="eastAsia" w:ascii="仿宋_GB2312" w:hAnsi="Times New Roman" w:eastAsia="仿宋_GB2312"/>
                <w:b/>
                <w:kern w:val="0"/>
                <w:sz w:val="32"/>
              </w:rPr>
              <w:t>决 算 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79" w:type="dxa"/>
            <w:tcBorders>
              <w:top w:val="nil"/>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b/>
                <w:kern w:val="0"/>
                <w:sz w:val="32"/>
              </w:rPr>
            </w:pPr>
            <w:r>
              <w:rPr>
                <w:rFonts w:hint="eastAsia" w:ascii="仿宋_GB2312" w:hAnsi="Times New Roman" w:eastAsia="仿宋_GB2312"/>
                <w:b/>
                <w:kern w:val="0"/>
                <w:sz w:val="32"/>
              </w:rPr>
              <w:t>合  计</w:t>
            </w:r>
          </w:p>
        </w:tc>
        <w:tc>
          <w:tcPr>
            <w:tcW w:w="1676"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b/>
                <w:kern w:val="0"/>
                <w:sz w:val="32"/>
              </w:rPr>
            </w:pPr>
            <w:r>
              <w:rPr>
                <w:rFonts w:hint="eastAsia" w:ascii="仿宋_GB2312" w:hAnsi="Times New Roman" w:eastAsia="仿宋_GB2312"/>
                <w:b/>
                <w:kern w:val="0"/>
                <w:sz w:val="32"/>
              </w:rPr>
              <w:t>　1.5</w:t>
            </w:r>
          </w:p>
        </w:tc>
        <w:tc>
          <w:tcPr>
            <w:tcW w:w="1565"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b/>
                <w:kern w:val="0"/>
                <w:sz w:val="32"/>
              </w:rPr>
            </w:pPr>
            <w:r>
              <w:rPr>
                <w:rFonts w:hint="eastAsia" w:ascii="仿宋_GB2312" w:hAnsi="Times New Roman" w:eastAsia="仿宋_GB2312"/>
                <w:b/>
                <w:kern w:val="0"/>
                <w:sz w:val="32"/>
              </w:rPr>
              <w:t>　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79" w:type="dxa"/>
            <w:tcBorders>
              <w:top w:val="nil"/>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因公出国（境）费</w:t>
            </w:r>
          </w:p>
        </w:tc>
        <w:tc>
          <w:tcPr>
            <w:tcW w:w="1676"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c>
          <w:tcPr>
            <w:tcW w:w="1565"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79" w:type="dxa"/>
            <w:tcBorders>
              <w:top w:val="nil"/>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公务接待费</w:t>
            </w:r>
          </w:p>
        </w:tc>
        <w:tc>
          <w:tcPr>
            <w:tcW w:w="1676"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1.5</w:t>
            </w:r>
          </w:p>
        </w:tc>
        <w:tc>
          <w:tcPr>
            <w:tcW w:w="1565"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79" w:type="dxa"/>
            <w:tcBorders>
              <w:top w:val="nil"/>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公务用车购置及运行费</w:t>
            </w:r>
          </w:p>
        </w:tc>
        <w:tc>
          <w:tcPr>
            <w:tcW w:w="1676"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c>
          <w:tcPr>
            <w:tcW w:w="1565"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79" w:type="dxa"/>
            <w:tcBorders>
              <w:top w:val="nil"/>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xml:space="preserve">  其中：公务用车运行维护费</w:t>
            </w:r>
          </w:p>
        </w:tc>
        <w:tc>
          <w:tcPr>
            <w:tcW w:w="1676"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c>
          <w:tcPr>
            <w:tcW w:w="1565"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379" w:type="dxa"/>
            <w:tcBorders>
              <w:top w:val="nil"/>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xml:space="preserve">       公务用车购置 </w:t>
            </w:r>
          </w:p>
        </w:tc>
        <w:tc>
          <w:tcPr>
            <w:tcW w:w="1676"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c>
          <w:tcPr>
            <w:tcW w:w="1565" w:type="dxa"/>
            <w:tcBorders>
              <w:top w:val="nil"/>
              <w:left w:val="nil"/>
              <w:bottom w:val="single" w:color="auto" w:sz="6" w:space="0"/>
              <w:right w:val="single" w:color="auto" w:sz="6" w:space="0"/>
              <w:tl2br w:val="nil"/>
              <w:tr2bl w:val="nil"/>
            </w:tcBorders>
            <w:vAlign w:val="top"/>
          </w:tcPr>
          <w:p>
            <w:pPr>
              <w:autoSpaceDE w:val="0"/>
              <w:autoSpaceDN w:val="0"/>
              <w:adjustRightInd w:val="0"/>
              <w:spacing w:beforeLines="0" w:afterLines="0"/>
              <w:jc w:val="left"/>
              <w:rPr>
                <w:rFonts w:hint="default" w:ascii="宋体" w:hAnsi="Times New Roman"/>
                <w:kern w:val="0"/>
                <w:sz w:val="32"/>
              </w:rPr>
            </w:pPr>
            <w:r>
              <w:rPr>
                <w:rFonts w:hint="eastAsia" w:ascii="仿宋_GB2312" w:hAnsi="Times New Roman" w:eastAsia="仿宋_GB2312"/>
                <w:kern w:val="0"/>
                <w:sz w:val="32"/>
              </w:rPr>
              <w:t>　0</w:t>
            </w:r>
          </w:p>
        </w:tc>
      </w:tr>
    </w:tbl>
    <w:p>
      <w:pPr>
        <w:autoSpaceDE w:val="0"/>
        <w:autoSpaceDN w:val="0"/>
        <w:adjustRightInd w:val="0"/>
        <w:spacing w:beforeLines="0" w:afterLines="0"/>
        <w:ind w:firstLine="628"/>
        <w:rPr>
          <w:rFonts w:hint="default" w:ascii="黑体" w:hAnsi="Times New Roman" w:eastAsia="黑体"/>
          <w:sz w:val="32"/>
        </w:rPr>
      </w:pPr>
    </w:p>
    <w:p>
      <w:pPr>
        <w:autoSpaceDE w:val="0"/>
        <w:autoSpaceDN w:val="0"/>
        <w:adjustRightInd w:val="0"/>
        <w:spacing w:beforeLines="0" w:afterLines="0" w:line="560" w:lineRule="exact"/>
        <w:ind w:firstLine="628"/>
        <w:rPr>
          <w:rFonts w:hint="default" w:ascii="黑体" w:hAnsi="Times New Roman" w:eastAsia="黑体"/>
          <w:sz w:val="32"/>
        </w:rPr>
      </w:pPr>
      <w:r>
        <w:rPr>
          <w:rFonts w:hint="eastAsia" w:ascii="黑体" w:hAnsi="Times New Roman" w:eastAsia="黑体"/>
          <w:sz w:val="32"/>
        </w:rPr>
        <w:t>二、2017年一般公共预算财政拨款</w:t>
      </w:r>
      <w:r>
        <w:rPr>
          <w:rFonts w:hint="default" w:ascii="Times New Roman" w:hAnsi="Times New Roman" w:eastAsia="黑体"/>
          <w:sz w:val="32"/>
        </w:rPr>
        <w:t>“</w:t>
      </w:r>
      <w:r>
        <w:rPr>
          <w:rFonts w:hint="eastAsia" w:ascii="黑体" w:hAnsi="Times New Roman" w:eastAsia="黑体"/>
          <w:sz w:val="32"/>
        </w:rPr>
        <w:t>三公</w:t>
      </w:r>
      <w:r>
        <w:rPr>
          <w:rFonts w:hint="default" w:ascii="Times New Roman" w:hAnsi="Times New Roman" w:eastAsia="黑体"/>
          <w:sz w:val="32"/>
        </w:rPr>
        <w:t>”</w:t>
      </w:r>
      <w:r>
        <w:rPr>
          <w:rFonts w:hint="eastAsia" w:ascii="黑体" w:hAnsi="Times New Roman" w:eastAsia="黑体"/>
          <w:sz w:val="32"/>
        </w:rPr>
        <w:t>经费支出情况说明</w:t>
      </w:r>
    </w:p>
    <w:p>
      <w:pPr>
        <w:autoSpaceDE w:val="0"/>
        <w:autoSpaceDN w:val="0"/>
        <w:adjustRightInd w:val="0"/>
        <w:spacing w:beforeLines="0" w:afterLines="0" w:line="560" w:lineRule="exact"/>
        <w:ind w:firstLine="628"/>
        <w:rPr>
          <w:rFonts w:hint="default" w:ascii="仿宋_GB2312" w:hAnsi="Times New Roman" w:eastAsia="仿宋_GB2312"/>
          <w:b/>
          <w:sz w:val="32"/>
        </w:rPr>
      </w:pPr>
      <w:r>
        <w:rPr>
          <w:rFonts w:hint="eastAsia" w:ascii="仿宋_GB2312" w:hAnsi="Times New Roman" w:eastAsia="仿宋_GB2312"/>
          <w:b/>
          <w:sz w:val="32"/>
        </w:rPr>
        <w:t>（一）一般公共预算财政拨款</w:t>
      </w:r>
      <w:r>
        <w:rPr>
          <w:rFonts w:hint="default" w:ascii="Times New Roman" w:hAnsi="Times New Roman" w:eastAsia="仿宋_GB2312"/>
          <w:b/>
          <w:sz w:val="32"/>
        </w:rPr>
        <w:t>“</w:t>
      </w:r>
      <w:r>
        <w:rPr>
          <w:rFonts w:hint="eastAsia" w:ascii="仿宋_GB2312" w:hAnsi="Times New Roman" w:eastAsia="仿宋_GB2312"/>
          <w:b/>
          <w:sz w:val="32"/>
        </w:rPr>
        <w:t>三公</w:t>
      </w:r>
      <w:r>
        <w:rPr>
          <w:rFonts w:hint="default" w:ascii="Times New Roman" w:hAnsi="Times New Roman" w:eastAsia="仿宋_GB2312"/>
          <w:b/>
          <w:sz w:val="32"/>
        </w:rPr>
        <w:t>”</w:t>
      </w:r>
      <w:r>
        <w:rPr>
          <w:rFonts w:hint="eastAsia" w:ascii="仿宋_GB2312" w:hAnsi="Times New Roman" w:eastAsia="仿宋_GB2312"/>
          <w:b/>
          <w:sz w:val="32"/>
        </w:rPr>
        <w:t>经费支出决算总体情况说明。</w:t>
      </w:r>
    </w:p>
    <w:p>
      <w:pPr>
        <w:autoSpaceDE w:val="0"/>
        <w:autoSpaceDN w:val="0"/>
        <w:adjustRightInd w:val="0"/>
        <w:spacing w:beforeLines="0" w:afterLines="0" w:line="560" w:lineRule="exact"/>
        <w:ind w:firstLine="628"/>
        <w:rPr>
          <w:rFonts w:hint="default" w:ascii="仿宋_GB2312" w:hAnsi="Times New Roman" w:eastAsia="仿宋_GB2312"/>
          <w:sz w:val="32"/>
        </w:rPr>
      </w:pPr>
      <w:r>
        <w:rPr>
          <w:rFonts w:hint="eastAsia" w:ascii="仿宋_GB2312" w:hAnsi="Times New Roman" w:eastAsia="仿宋_GB2312"/>
          <w:sz w:val="32"/>
        </w:rPr>
        <w:t>宿州市妇女联合会2017年度一般公共预算财政拨款</w:t>
      </w:r>
      <w:r>
        <w:rPr>
          <w:rFonts w:hint="default" w:ascii="Times New Roman" w:hAnsi="Times New Roman" w:eastAsia="仿宋_GB2312"/>
          <w:sz w:val="32"/>
        </w:rPr>
        <w:t>“</w:t>
      </w:r>
      <w:r>
        <w:rPr>
          <w:rFonts w:hint="eastAsia" w:ascii="仿宋_GB2312" w:hAnsi="Times New Roman" w:eastAsia="仿宋_GB2312"/>
          <w:sz w:val="32"/>
        </w:rPr>
        <w:t>三公</w:t>
      </w:r>
      <w:r>
        <w:rPr>
          <w:rFonts w:hint="default" w:ascii="Times New Roman" w:hAnsi="Times New Roman" w:eastAsia="仿宋_GB2312"/>
          <w:sz w:val="32"/>
        </w:rPr>
        <w:t>”</w:t>
      </w:r>
      <w:r>
        <w:rPr>
          <w:rFonts w:hint="eastAsia" w:ascii="仿宋_GB2312" w:hAnsi="Times New Roman" w:eastAsia="仿宋_GB2312"/>
          <w:sz w:val="32"/>
        </w:rPr>
        <w:t>经费支出预算为1.5万元，支出决算为1.69万元，完成预算的112.66%，决算数大于预算数的主要原因是业务量有所增加，由于物价原因，支出略有增长。为全面反映</w:t>
      </w:r>
      <w:r>
        <w:rPr>
          <w:rFonts w:hint="default" w:ascii="Times New Roman" w:hAnsi="Times New Roman" w:eastAsia="仿宋_GB2312"/>
          <w:sz w:val="32"/>
        </w:rPr>
        <w:t>“</w:t>
      </w:r>
      <w:r>
        <w:rPr>
          <w:rFonts w:hint="eastAsia" w:ascii="仿宋_GB2312" w:hAnsi="Times New Roman" w:eastAsia="仿宋_GB2312"/>
          <w:sz w:val="32"/>
        </w:rPr>
        <w:t>三公</w:t>
      </w:r>
      <w:r>
        <w:rPr>
          <w:rFonts w:hint="default" w:ascii="Times New Roman" w:hAnsi="Times New Roman" w:eastAsia="仿宋_GB2312"/>
          <w:sz w:val="32"/>
        </w:rPr>
        <w:t>”</w:t>
      </w:r>
      <w:r>
        <w:rPr>
          <w:rFonts w:hint="eastAsia" w:ascii="仿宋_GB2312" w:hAnsi="Times New Roman" w:eastAsia="仿宋_GB2312"/>
          <w:sz w:val="32"/>
        </w:rPr>
        <w:t>经费支出，本次公布的</w:t>
      </w:r>
      <w:r>
        <w:rPr>
          <w:rFonts w:hint="default" w:ascii="Times New Roman" w:hAnsi="Times New Roman" w:eastAsia="仿宋_GB2312"/>
          <w:sz w:val="32"/>
        </w:rPr>
        <w:t>“</w:t>
      </w:r>
      <w:r>
        <w:rPr>
          <w:rFonts w:hint="eastAsia" w:ascii="仿宋_GB2312" w:hAnsi="Times New Roman" w:eastAsia="仿宋_GB2312"/>
          <w:sz w:val="32"/>
        </w:rPr>
        <w:t>三公</w:t>
      </w:r>
      <w:r>
        <w:rPr>
          <w:rFonts w:hint="default" w:ascii="Times New Roman" w:hAnsi="Times New Roman" w:eastAsia="仿宋_GB2312"/>
          <w:sz w:val="32"/>
        </w:rPr>
        <w:t>”</w:t>
      </w:r>
      <w:r>
        <w:rPr>
          <w:rFonts w:hint="eastAsia" w:ascii="仿宋_GB2312" w:hAnsi="Times New Roman" w:eastAsia="仿宋_GB2312"/>
          <w:sz w:val="32"/>
        </w:rPr>
        <w:t>经费决算为部门汇总数，包含部门本级和所属单位。</w:t>
      </w:r>
    </w:p>
    <w:p>
      <w:pPr>
        <w:autoSpaceDE w:val="0"/>
        <w:autoSpaceDN w:val="0"/>
        <w:adjustRightInd w:val="0"/>
        <w:spacing w:beforeLines="0" w:afterLines="0" w:line="560" w:lineRule="exact"/>
        <w:ind w:firstLine="628"/>
        <w:rPr>
          <w:rFonts w:hint="default" w:ascii="仿宋_GB2312" w:hAnsi="Times New Roman" w:eastAsia="仿宋_GB2312"/>
          <w:b/>
          <w:sz w:val="32"/>
        </w:rPr>
      </w:pPr>
      <w:r>
        <w:rPr>
          <w:rFonts w:hint="eastAsia" w:ascii="仿宋_GB2312" w:hAnsi="Times New Roman" w:eastAsia="仿宋_GB2312"/>
          <w:sz w:val="32"/>
        </w:rPr>
        <w:t>（二）</w:t>
      </w:r>
      <w:r>
        <w:rPr>
          <w:rFonts w:hint="eastAsia" w:ascii="仿宋_GB2312" w:hAnsi="Times New Roman" w:eastAsia="仿宋_GB2312"/>
          <w:b/>
          <w:sz w:val="32"/>
        </w:rPr>
        <w:t>一般公共预算财政拨款</w:t>
      </w:r>
      <w:r>
        <w:rPr>
          <w:rFonts w:hint="default" w:ascii="Times New Roman" w:hAnsi="Times New Roman" w:eastAsia="仿宋_GB2312"/>
          <w:b/>
          <w:sz w:val="32"/>
        </w:rPr>
        <w:t>“</w:t>
      </w:r>
      <w:r>
        <w:rPr>
          <w:rFonts w:hint="eastAsia" w:ascii="仿宋_GB2312" w:hAnsi="Times New Roman" w:eastAsia="仿宋_GB2312"/>
          <w:b/>
          <w:sz w:val="32"/>
        </w:rPr>
        <w:t>三公</w:t>
      </w:r>
      <w:r>
        <w:rPr>
          <w:rFonts w:hint="default" w:ascii="Times New Roman" w:hAnsi="Times New Roman" w:eastAsia="仿宋_GB2312"/>
          <w:b/>
          <w:sz w:val="32"/>
        </w:rPr>
        <w:t>”</w:t>
      </w:r>
      <w:r>
        <w:rPr>
          <w:rFonts w:hint="eastAsia" w:ascii="仿宋_GB2312" w:hAnsi="Times New Roman" w:eastAsia="仿宋_GB2312"/>
          <w:b/>
          <w:sz w:val="32"/>
        </w:rPr>
        <w:t>经费支出决算具体情况说明。</w:t>
      </w:r>
    </w:p>
    <w:p>
      <w:pPr>
        <w:autoSpaceDE w:val="0"/>
        <w:autoSpaceDN w:val="0"/>
        <w:adjustRightInd w:val="0"/>
        <w:spacing w:beforeLines="0" w:afterLines="0" w:line="560" w:lineRule="exact"/>
        <w:ind w:firstLine="628"/>
        <w:rPr>
          <w:rFonts w:hint="default" w:ascii="仿宋_GB2312" w:hAnsi="Times New Roman" w:eastAsia="仿宋_GB2312"/>
          <w:sz w:val="32"/>
        </w:rPr>
      </w:pPr>
      <w:r>
        <w:rPr>
          <w:rFonts w:hint="eastAsia" w:ascii="仿宋_GB2312" w:hAnsi="Times New Roman" w:eastAsia="仿宋_GB2312"/>
          <w:sz w:val="32"/>
        </w:rPr>
        <w:t>宿州市妇女联合会2017年度一般公共预算财政拨款</w:t>
      </w:r>
      <w:r>
        <w:rPr>
          <w:rFonts w:hint="default" w:ascii="Times New Roman" w:hAnsi="Times New Roman" w:eastAsia="仿宋_GB2312"/>
          <w:sz w:val="32"/>
        </w:rPr>
        <w:t>“</w:t>
      </w:r>
      <w:r>
        <w:rPr>
          <w:rFonts w:hint="eastAsia" w:ascii="仿宋_GB2312" w:hAnsi="Times New Roman" w:eastAsia="仿宋_GB2312"/>
          <w:sz w:val="32"/>
        </w:rPr>
        <w:t>三公</w:t>
      </w:r>
      <w:r>
        <w:rPr>
          <w:rFonts w:hint="default" w:ascii="Times New Roman" w:hAnsi="Times New Roman" w:eastAsia="仿宋_GB2312"/>
          <w:sz w:val="32"/>
        </w:rPr>
        <w:t>”</w:t>
      </w:r>
      <w:r>
        <w:rPr>
          <w:rFonts w:hint="eastAsia" w:ascii="仿宋_GB2312" w:hAnsi="Times New Roman" w:eastAsia="仿宋_GB2312"/>
          <w:sz w:val="32"/>
        </w:rPr>
        <w:t>经费支出决算中，因公出国（境）费支出决算0万元，占0%;公务接待费支出决算1.69万元，占100%，公务用车购置及运行费支出决算0万元，占0%。具体情况如下：</w:t>
      </w:r>
    </w:p>
    <w:p>
      <w:pPr>
        <w:autoSpaceDE w:val="0"/>
        <w:autoSpaceDN w:val="0"/>
        <w:adjustRightInd w:val="0"/>
        <w:spacing w:beforeLines="0" w:afterLines="0" w:line="560" w:lineRule="exact"/>
        <w:ind w:firstLine="628"/>
        <w:rPr>
          <w:rFonts w:hint="default" w:ascii="仿宋_GB2312" w:hAnsi="Times New Roman" w:eastAsia="仿宋_GB2312"/>
          <w:sz w:val="32"/>
        </w:rPr>
      </w:pPr>
      <w:r>
        <w:rPr>
          <w:rFonts w:hint="eastAsia" w:ascii="仿宋_GB2312" w:hAnsi="Times New Roman" w:eastAsia="仿宋_GB2312"/>
          <w:sz w:val="32"/>
        </w:rPr>
        <w:t>1.因公出国（境）费支出0万元。与2016年度决算相比，减少0万元，两年均无相关支出。</w:t>
      </w:r>
    </w:p>
    <w:p>
      <w:pPr>
        <w:autoSpaceDE w:val="0"/>
        <w:autoSpaceDN w:val="0"/>
        <w:adjustRightInd w:val="0"/>
        <w:spacing w:beforeLines="0" w:afterLines="0" w:line="560" w:lineRule="exact"/>
        <w:ind w:firstLine="628"/>
        <w:rPr>
          <w:rFonts w:hint="default" w:ascii="仿宋_GB2312" w:hAnsi="Times New Roman" w:eastAsia="仿宋_GB2312"/>
          <w:sz w:val="32"/>
        </w:rPr>
      </w:pPr>
      <w:r>
        <w:rPr>
          <w:rFonts w:hint="eastAsia" w:ascii="仿宋_GB2312" w:hAnsi="Times New Roman" w:eastAsia="仿宋_GB2312"/>
          <w:sz w:val="32"/>
        </w:rPr>
        <w:t>2.公务接待费支出1.69万元, 与2016年度决算相比，减少0.89万元，下降34.58%。，下降的原因是厉行节约，严格控制公务接待。2017年宿州市妇女联合会国内公务接待共10批次（其中外事接待0批次），155人次（其中外事接待0人次）。主要是用于开展工作时的接待任务及招商引资公务接待。经费使用贯彻党中央</w:t>
      </w:r>
      <w:r>
        <w:rPr>
          <w:rFonts w:hint="default" w:ascii="Times New Roman" w:hAnsi="Times New Roman" w:eastAsia="仿宋_GB2312"/>
          <w:sz w:val="32"/>
        </w:rPr>
        <w:t>“</w:t>
      </w:r>
      <w:r>
        <w:rPr>
          <w:rFonts w:hint="eastAsia" w:ascii="仿宋_GB2312" w:hAnsi="Times New Roman" w:eastAsia="仿宋_GB2312"/>
          <w:sz w:val="32"/>
        </w:rPr>
        <w:t>八项规定</w:t>
      </w:r>
      <w:r>
        <w:rPr>
          <w:rFonts w:hint="default" w:ascii="Times New Roman" w:hAnsi="Times New Roman" w:eastAsia="仿宋_GB2312"/>
          <w:sz w:val="32"/>
        </w:rPr>
        <w:t>”</w:t>
      </w:r>
      <w:r>
        <w:rPr>
          <w:rFonts w:hint="eastAsia" w:ascii="仿宋_GB2312" w:hAnsi="Times New Roman" w:eastAsia="仿宋_GB2312"/>
          <w:sz w:val="32"/>
        </w:rPr>
        <w:t>和省委省政府30条等要求，严格执行《党政机关厉行节约反对浪费条例》、《宿州市市直机关公务接待管理暂行办法》（宿财行〔2015〕4号）相关规定。</w:t>
      </w:r>
    </w:p>
    <w:p>
      <w:pPr>
        <w:autoSpaceDE w:val="0"/>
        <w:autoSpaceDN w:val="0"/>
        <w:adjustRightInd w:val="0"/>
        <w:spacing w:beforeLines="0" w:afterLines="0" w:line="560" w:lineRule="exact"/>
        <w:ind w:firstLine="628"/>
        <w:rPr>
          <w:rFonts w:hint="default" w:ascii="仿宋_GB2312" w:hAnsi="Times New Roman" w:eastAsia="仿宋_GB2312"/>
          <w:sz w:val="32"/>
        </w:rPr>
      </w:pPr>
      <w:r>
        <w:rPr>
          <w:rFonts w:hint="eastAsia" w:ascii="仿宋_GB2312" w:hAnsi="Times New Roman" w:eastAsia="仿宋_GB2312"/>
          <w:sz w:val="32"/>
        </w:rPr>
        <w:t>3.公务用车购置及运行费支出0万元。2017年没有安排公务用车购置费。2017年底，宿州市妇女联合会机关及所属单位开支财政拨款的公务用车保有量为1辆。本单位已实行公车改革，现有车辆已移交公务用车管理平台，账务待核销。</w:t>
      </w:r>
    </w:p>
    <w:p>
      <w:pPr>
        <w:autoSpaceDE w:val="0"/>
        <w:autoSpaceDN w:val="0"/>
        <w:adjustRightInd w:val="0"/>
        <w:spacing w:beforeLines="0" w:afterLines="0" w:line="560" w:lineRule="exact"/>
        <w:ind w:firstLine="628"/>
        <w:rPr>
          <w:rFonts w:hint="default" w:ascii="仿宋_GB2312" w:hAnsi="Times New Roman" w:eastAsia="仿宋_GB2312"/>
          <w:sz w:val="32"/>
        </w:rPr>
      </w:pPr>
      <w:r>
        <w:rPr>
          <w:rFonts w:hint="eastAsia" w:ascii="仿宋_GB2312" w:hAnsi="Times New Roman" w:eastAsia="仿宋_GB2312"/>
          <w:sz w:val="32"/>
        </w:rPr>
        <w:t>联系方式：宿州市妇女联合会政务公开电子邮箱：szwomen@163.com。</w:t>
      </w:r>
      <w:r>
        <w:rPr>
          <w:rFonts w:hint="default" w:ascii="仿宋_GB2312" w:hAnsi="Times New Roman" w:eastAsia="仿宋_GB2312"/>
          <w:sz w:val="32"/>
        </w:rPr>
        <w:tab/>
      </w:r>
    </w:p>
    <w:p>
      <w:pPr>
        <w:autoSpaceDE w:val="0"/>
        <w:autoSpaceDN w:val="0"/>
        <w:adjustRightInd w:val="0"/>
        <w:spacing w:beforeLines="0" w:afterLines="0" w:line="560" w:lineRule="exact"/>
        <w:ind w:left="1258" w:hanging="1258"/>
        <w:rPr>
          <w:rFonts w:hint="eastAsia" w:ascii="仿宋_GB2312" w:hAnsi="Times New Roman" w:eastAsia="仿宋_GB2312"/>
          <w:sz w:val="32"/>
        </w:rPr>
      </w:pPr>
      <w:r>
        <w:rPr>
          <w:rFonts w:hint="eastAsia" w:ascii="仿宋_GB2312" w:hAnsi="Times New Roman" w:eastAsia="仿宋_GB2312"/>
          <w:sz w:val="28"/>
        </w:rPr>
        <w:t xml:space="preserve"> </w:t>
      </w:r>
      <w:r>
        <w:rPr>
          <w:rFonts w:hint="eastAsia" w:ascii="仿宋_GB2312" w:hAnsi="Times New Roman" w:eastAsia="仿宋_GB2312"/>
          <w:sz w:val="32"/>
        </w:rPr>
        <w:t xml:space="preserve">       </w:t>
      </w:r>
    </w:p>
    <w:p>
      <w:pPr>
        <w:autoSpaceDE w:val="0"/>
        <w:autoSpaceDN w:val="0"/>
        <w:adjustRightInd w:val="0"/>
        <w:spacing w:beforeLines="0" w:afterLines="0"/>
        <w:jc w:val="left"/>
        <w:rPr>
          <w:rFonts w:hint="default" w:ascii="宋体" w:hAnsi="Times New Roman"/>
          <w:kern w:val="0"/>
          <w:sz w:val="18"/>
        </w:rPr>
      </w:pPr>
    </w:p>
    <w:p>
      <w:bookmarkStart w:id="0" w:name="_GoBack"/>
      <w:bookmarkEnd w:id="0"/>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35D3"/>
    <w:multiLevelType w:val="multilevel"/>
    <w:tmpl w:val="542B35D3"/>
    <w:lvl w:ilvl="0" w:tentative="0">
      <w:start w:val="1"/>
      <w:numFmt w:val="japaneseCounting"/>
      <w:lvlText w:val="%1、"/>
      <w:lvlJc w:val="left"/>
      <w:pPr>
        <w:ind w:left="1348" w:hanging="720"/>
      </w:pPr>
      <w:rPr>
        <w:rFonts w:hint="default" w:ascii="Times New Roman" w:hAnsi="Times New Roman" w:eastAsia="宋体"/>
        <w:u w:val="none" w:color="auto"/>
      </w:rPr>
    </w:lvl>
    <w:lvl w:ilvl="1" w:tentative="0">
      <w:start w:val="1"/>
      <w:numFmt w:val="lowerLetter"/>
      <w:lvlText w:val="%2)"/>
      <w:lvlJc w:val="left"/>
      <w:pPr>
        <w:ind w:left="1468" w:hanging="420"/>
      </w:pPr>
      <w:rPr>
        <w:rFonts w:hint="default" w:ascii="Times New Roman" w:hAnsi="Times New Roman" w:eastAsia="宋体"/>
        <w:u w:val="none" w:color="auto"/>
      </w:rPr>
    </w:lvl>
    <w:lvl w:ilvl="2" w:tentative="0">
      <w:start w:val="1"/>
      <w:numFmt w:val="lowerRoman"/>
      <w:lvlText w:val="%3."/>
      <w:lvlJc w:val="right"/>
      <w:pPr>
        <w:ind w:left="1888" w:hanging="420"/>
      </w:pPr>
      <w:rPr>
        <w:rFonts w:hint="default" w:ascii="Times New Roman" w:hAnsi="Times New Roman" w:eastAsia="宋体"/>
        <w:u w:val="none" w:color="auto"/>
      </w:rPr>
    </w:lvl>
    <w:lvl w:ilvl="3" w:tentative="0">
      <w:start w:val="1"/>
      <w:numFmt w:val="decimal"/>
      <w:lvlText w:val="%4."/>
      <w:lvlJc w:val="left"/>
      <w:pPr>
        <w:ind w:left="2308" w:hanging="420"/>
      </w:pPr>
      <w:rPr>
        <w:rFonts w:hint="default" w:ascii="Times New Roman" w:hAnsi="Times New Roman" w:eastAsia="宋体"/>
        <w:u w:val="none" w:color="auto"/>
      </w:rPr>
    </w:lvl>
    <w:lvl w:ilvl="4" w:tentative="0">
      <w:start w:val="1"/>
      <w:numFmt w:val="lowerLetter"/>
      <w:lvlText w:val="%5)"/>
      <w:lvlJc w:val="left"/>
      <w:pPr>
        <w:ind w:left="2728" w:hanging="420"/>
      </w:pPr>
      <w:rPr>
        <w:rFonts w:hint="default" w:ascii="Times New Roman" w:hAnsi="Times New Roman" w:eastAsia="宋体"/>
        <w:u w:val="none" w:color="auto"/>
      </w:rPr>
    </w:lvl>
    <w:lvl w:ilvl="5" w:tentative="0">
      <w:start w:val="1"/>
      <w:numFmt w:val="lowerRoman"/>
      <w:lvlText w:val="%6."/>
      <w:lvlJc w:val="right"/>
      <w:pPr>
        <w:ind w:left="3148" w:hanging="420"/>
      </w:pPr>
      <w:rPr>
        <w:rFonts w:hint="default" w:ascii="Times New Roman" w:hAnsi="Times New Roman" w:eastAsia="宋体"/>
        <w:u w:val="none" w:color="auto"/>
      </w:rPr>
    </w:lvl>
    <w:lvl w:ilvl="6" w:tentative="0">
      <w:start w:val="1"/>
      <w:numFmt w:val="decimal"/>
      <w:lvlText w:val="%7."/>
      <w:lvlJc w:val="left"/>
      <w:pPr>
        <w:ind w:left="3568" w:hanging="420"/>
      </w:pPr>
      <w:rPr>
        <w:rFonts w:hint="default" w:ascii="Times New Roman" w:hAnsi="Times New Roman" w:eastAsia="宋体"/>
        <w:u w:val="none" w:color="auto"/>
      </w:rPr>
    </w:lvl>
    <w:lvl w:ilvl="7" w:tentative="0">
      <w:start w:val="1"/>
      <w:numFmt w:val="lowerLetter"/>
      <w:lvlText w:val="%8)"/>
      <w:lvlJc w:val="left"/>
      <w:pPr>
        <w:ind w:left="3988" w:hanging="420"/>
      </w:pPr>
      <w:rPr>
        <w:rFonts w:hint="default" w:ascii="Times New Roman" w:hAnsi="Times New Roman" w:eastAsia="宋体"/>
        <w:u w:val="none" w:color="auto"/>
      </w:rPr>
    </w:lvl>
    <w:lvl w:ilvl="8" w:tentative="0">
      <w:start w:val="1"/>
      <w:numFmt w:val="lowerRoman"/>
      <w:lvlText w:val="%9."/>
      <w:lvlJc w:val="right"/>
      <w:pPr>
        <w:ind w:left="4408" w:hanging="420"/>
      </w:pPr>
      <w:rPr>
        <w:rFonts w:hint="default" w:ascii="Times New Roman" w:hAnsi="Times New Roman" w:eastAsia="宋体"/>
        <w:u w:val="none" w:color="auto"/>
      </w:rPr>
    </w:lvl>
  </w:abstractNum>
  <w:abstractNum w:abstractNumId="1">
    <w:nsid w:val="5BAA335D"/>
    <w:multiLevelType w:val="multilevel"/>
    <w:tmpl w:val="5BAA335D"/>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3727F"/>
    <w:rsid w:val="1283727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spacing w:beforeLines="0" w:afterLines="0"/>
      <w:jc w:val="both"/>
    </w:pPr>
    <w:rPr>
      <w:rFonts w:hint="eastAsia" w:ascii="Calibri" w:hAnsi="Calibri"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customStyle="1" w:styleId="5">
    <w:name w:val="样式2"/>
    <w:basedOn w:val="1"/>
    <w:next w:val="2"/>
    <w:unhideWhenUsed/>
    <w:uiPriority w:val="99"/>
    <w:pPr>
      <w:adjustRightInd w:val="0"/>
      <w:snapToGrid w:val="0"/>
      <w:spacing w:beforeLines="0" w:afterLines="0" w:line="324" w:lineRule="auto"/>
      <w:ind w:firstLine="200" w:firstLineChars="200"/>
    </w:pPr>
    <w:rPr>
      <w:rFonts w:hint="eastAsia" w:ascii="仿宋_GB2312" w:hAnsi="Times New Roman"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2018-09-28T09:34:00Z</dcterms:created>
  <dc:creator>稳稳的幸福1374546425</dc:creator>
  <cp:lastModifiedBy>稳稳的幸福1374546425</cp:lastModifiedBy>
  <dcterms:modified xsi:type="dcterms:W3CDTF">2018-09-28T09:41:32Z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